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A73F4" w14:textId="77777777" w:rsidR="002E625B" w:rsidRPr="00A41C20" w:rsidRDefault="00505913">
      <w:pPr>
        <w:widowControl w:val="0"/>
        <w:pBdr>
          <w:top w:val="nil"/>
          <w:left w:val="nil"/>
          <w:bottom w:val="nil"/>
          <w:right w:val="nil"/>
          <w:between w:val="nil"/>
        </w:pBdr>
        <w:spacing w:after="0" w:line="276" w:lineRule="auto"/>
        <w:rPr>
          <w:sz w:val="24"/>
          <w:szCs w:val="24"/>
        </w:rPr>
      </w:pPr>
      <w:r>
        <w:rPr>
          <w:sz w:val="24"/>
          <w:szCs w:val="24"/>
        </w:rPr>
        <w:pict w14:anchorId="3E7A7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8240;visibility:hidden">
            <o:lock v:ext="edit" selection="t"/>
          </v:shape>
        </w:pict>
      </w:r>
      <w:r>
        <w:rPr>
          <w:sz w:val="24"/>
          <w:szCs w:val="24"/>
        </w:rPr>
        <w:pict w14:anchorId="3E7A777D">
          <v:shape id="_x0000_s1026" type="#_x0000_t136" style="position:absolute;margin-left:0;margin-top:0;width:50pt;height:50pt;z-index:251659264;visibility:hidden">
            <o:lock v:ext="edit" selection="t"/>
          </v:shape>
        </w:pict>
      </w:r>
    </w:p>
    <w:p w14:paraId="3E7A73F5" w14:textId="77777777" w:rsidR="002E625B" w:rsidRPr="00A41C20" w:rsidRDefault="00A91795">
      <w:pPr>
        <w:widowControl w:val="0"/>
        <w:pBdr>
          <w:top w:val="nil"/>
          <w:left w:val="nil"/>
          <w:bottom w:val="nil"/>
          <w:right w:val="nil"/>
          <w:between w:val="nil"/>
        </w:pBdr>
        <w:spacing w:after="0" w:line="276" w:lineRule="auto"/>
        <w:jc w:val="both"/>
        <w:rPr>
          <w:rFonts w:eastAsia="Arial"/>
          <w:sz w:val="24"/>
          <w:szCs w:val="24"/>
        </w:rPr>
      </w:pPr>
      <w:r w:rsidRPr="00A41C20">
        <w:rPr>
          <w:rFonts w:eastAsia="Arial"/>
          <w:noProof/>
          <w:sz w:val="24"/>
          <w:szCs w:val="24"/>
          <w:lang w:eastAsia="es-CO"/>
        </w:rPr>
        <w:drawing>
          <wp:anchor distT="0" distB="0" distL="0" distR="0" simplePos="0" relativeHeight="251656192" behindDoc="1" locked="0" layoutInCell="1" hidden="0" allowOverlap="1" wp14:anchorId="3E7A777E" wp14:editId="3E7A777F">
            <wp:simplePos x="0" y="0"/>
            <wp:positionH relativeFrom="page">
              <wp:posOffset>5715</wp:posOffset>
            </wp:positionH>
            <wp:positionV relativeFrom="page">
              <wp:posOffset>20320</wp:posOffset>
            </wp:positionV>
            <wp:extent cx="7806690" cy="10027285"/>
            <wp:effectExtent l="0" t="0" r="0" b="0"/>
            <wp:wrapNone/>
            <wp:docPr id="18177920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806690" cy="10027285"/>
                    </a:xfrm>
                    <a:prstGeom prst="rect">
                      <a:avLst/>
                    </a:prstGeom>
                    <a:ln/>
                  </pic:spPr>
                </pic:pic>
              </a:graphicData>
            </a:graphic>
          </wp:anchor>
        </w:drawing>
      </w:r>
      <w:r w:rsidRPr="00A41C20">
        <w:rPr>
          <w:noProof/>
          <w:sz w:val="24"/>
          <w:szCs w:val="24"/>
          <w:lang w:eastAsia="es-CO"/>
        </w:rPr>
        <mc:AlternateContent>
          <mc:Choice Requires="wpg">
            <w:drawing>
              <wp:anchor distT="0" distB="0" distL="114300" distR="114300" simplePos="0" relativeHeight="251657216" behindDoc="0" locked="0" layoutInCell="1" hidden="0" allowOverlap="1" wp14:anchorId="3E7A7780" wp14:editId="3E7A7781">
                <wp:simplePos x="0" y="0"/>
                <wp:positionH relativeFrom="column">
                  <wp:posOffset>107951</wp:posOffset>
                </wp:positionH>
                <wp:positionV relativeFrom="paragraph">
                  <wp:posOffset>-6349</wp:posOffset>
                </wp:positionV>
                <wp:extent cx="647700" cy="647700"/>
                <wp:effectExtent l="0" t="0" r="0" b="0"/>
                <wp:wrapNone/>
                <wp:docPr id="1817792086" name="Forma libre: forma 181779208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107951</wp:posOffset>
                </wp:positionH>
                <wp:positionV relativeFrom="paragraph">
                  <wp:posOffset>-6349</wp:posOffset>
                </wp:positionV>
                <wp:extent cx="647700" cy="647700"/>
                <wp:effectExtent b="0" l="0" r="0" t="0"/>
                <wp:wrapNone/>
                <wp:docPr id="1817792086"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47700" cy="647700"/>
                        </a:xfrm>
                        <a:prstGeom prst="rect"/>
                        <a:ln/>
                      </pic:spPr>
                    </pic:pic>
                  </a:graphicData>
                </a:graphic>
              </wp:anchor>
            </w:drawing>
          </mc:Fallback>
        </mc:AlternateContent>
      </w:r>
    </w:p>
    <w:p w14:paraId="3E7A73F6" w14:textId="77777777" w:rsidR="002E625B" w:rsidRPr="00A41C20" w:rsidRDefault="002E625B">
      <w:pPr>
        <w:spacing w:after="0" w:line="276" w:lineRule="auto"/>
        <w:jc w:val="both"/>
        <w:rPr>
          <w:rFonts w:eastAsia="Arial"/>
          <w:b/>
          <w:bCs/>
          <w:sz w:val="24"/>
          <w:szCs w:val="24"/>
        </w:rPr>
      </w:pPr>
      <w:bookmarkStart w:id="0" w:name="_heading=h.z9ii6j8q9duj" w:colFirst="0" w:colLast="0"/>
      <w:bookmarkEnd w:id="0"/>
    </w:p>
    <w:p w14:paraId="3E7A73F7" w14:textId="77777777" w:rsidR="002E625B" w:rsidRPr="00A41C20" w:rsidRDefault="002E625B">
      <w:pPr>
        <w:spacing w:after="0" w:line="276" w:lineRule="auto"/>
        <w:jc w:val="both"/>
        <w:rPr>
          <w:rFonts w:eastAsia="Arial"/>
          <w:b/>
          <w:bCs/>
          <w:sz w:val="24"/>
          <w:szCs w:val="24"/>
        </w:rPr>
      </w:pPr>
      <w:bookmarkStart w:id="1" w:name="_heading=h.bsii72soo2md" w:colFirst="0" w:colLast="0"/>
      <w:bookmarkEnd w:id="1"/>
    </w:p>
    <w:p w14:paraId="3E7A73F8" w14:textId="77777777" w:rsidR="002E625B" w:rsidRPr="00A41C20" w:rsidRDefault="002E625B">
      <w:pPr>
        <w:spacing w:after="0" w:line="276" w:lineRule="auto"/>
        <w:jc w:val="both"/>
        <w:rPr>
          <w:rFonts w:eastAsia="Arial"/>
          <w:b/>
          <w:bCs/>
          <w:sz w:val="24"/>
          <w:szCs w:val="24"/>
        </w:rPr>
      </w:pPr>
      <w:bookmarkStart w:id="2" w:name="_heading=h.k020hsjvxih6" w:colFirst="0" w:colLast="0"/>
      <w:bookmarkEnd w:id="2"/>
    </w:p>
    <w:p w14:paraId="3E7A73F9" w14:textId="77777777" w:rsidR="002E625B" w:rsidRPr="00A41C20" w:rsidRDefault="002E625B">
      <w:pPr>
        <w:spacing w:after="0" w:line="276" w:lineRule="auto"/>
        <w:jc w:val="both"/>
        <w:rPr>
          <w:rFonts w:eastAsia="Arial"/>
          <w:b/>
          <w:bCs/>
          <w:sz w:val="24"/>
          <w:szCs w:val="24"/>
        </w:rPr>
      </w:pPr>
      <w:bookmarkStart w:id="3" w:name="_heading=h.ux4yx7u1xtd9" w:colFirst="0" w:colLast="0"/>
      <w:bookmarkEnd w:id="3"/>
    </w:p>
    <w:p w14:paraId="3E7A73FA" w14:textId="77777777" w:rsidR="002E625B" w:rsidRPr="00A41C20" w:rsidRDefault="002E625B">
      <w:pPr>
        <w:spacing w:after="0" w:line="276" w:lineRule="auto"/>
        <w:jc w:val="both"/>
        <w:rPr>
          <w:rFonts w:eastAsia="Arial"/>
          <w:b/>
          <w:bCs/>
          <w:sz w:val="24"/>
          <w:szCs w:val="24"/>
        </w:rPr>
      </w:pPr>
      <w:bookmarkStart w:id="4" w:name="_heading=h.ybevazt4mh74" w:colFirst="0" w:colLast="0"/>
      <w:bookmarkEnd w:id="4"/>
    </w:p>
    <w:p w14:paraId="3E7A73FB" w14:textId="77777777" w:rsidR="002E625B" w:rsidRPr="00A41C20" w:rsidRDefault="002E625B">
      <w:pPr>
        <w:spacing w:after="0" w:line="276" w:lineRule="auto"/>
        <w:jc w:val="both"/>
        <w:rPr>
          <w:rFonts w:eastAsia="Arial"/>
          <w:b/>
          <w:bCs/>
          <w:sz w:val="24"/>
          <w:szCs w:val="24"/>
        </w:rPr>
      </w:pPr>
      <w:bookmarkStart w:id="5" w:name="_heading=h.dl011p7pl712" w:colFirst="0" w:colLast="0"/>
      <w:bookmarkEnd w:id="5"/>
    </w:p>
    <w:p w14:paraId="3E7A73FC" w14:textId="77777777" w:rsidR="002E625B" w:rsidRPr="00A41C20" w:rsidRDefault="002E625B">
      <w:pPr>
        <w:spacing w:after="0" w:line="276" w:lineRule="auto"/>
        <w:jc w:val="both"/>
        <w:rPr>
          <w:rFonts w:eastAsia="Arial"/>
          <w:b/>
          <w:bCs/>
          <w:sz w:val="24"/>
          <w:szCs w:val="24"/>
        </w:rPr>
      </w:pPr>
      <w:bookmarkStart w:id="6" w:name="_heading=h.p7zy7dfjtpsn" w:colFirst="0" w:colLast="0"/>
      <w:bookmarkEnd w:id="6"/>
    </w:p>
    <w:p w14:paraId="3E7A73FD" w14:textId="77777777" w:rsidR="002E625B" w:rsidRPr="00A41C20" w:rsidRDefault="002E625B">
      <w:pPr>
        <w:spacing w:after="0" w:line="276" w:lineRule="auto"/>
        <w:jc w:val="both"/>
        <w:rPr>
          <w:rFonts w:eastAsia="Arial"/>
          <w:b/>
          <w:bCs/>
          <w:sz w:val="24"/>
          <w:szCs w:val="24"/>
        </w:rPr>
      </w:pPr>
      <w:bookmarkStart w:id="7" w:name="_heading=h.vevzfx9ezu8m" w:colFirst="0" w:colLast="0"/>
      <w:bookmarkEnd w:id="7"/>
    </w:p>
    <w:p w14:paraId="3E7A73FE" w14:textId="77777777" w:rsidR="002E625B" w:rsidRPr="00A41C20" w:rsidRDefault="002E625B">
      <w:pPr>
        <w:spacing w:after="0" w:line="276" w:lineRule="auto"/>
        <w:jc w:val="both"/>
        <w:rPr>
          <w:rFonts w:eastAsia="Arial"/>
          <w:b/>
          <w:bCs/>
          <w:sz w:val="24"/>
          <w:szCs w:val="24"/>
        </w:rPr>
      </w:pPr>
      <w:bookmarkStart w:id="8" w:name="_heading=h.dt1hag9wqlj9" w:colFirst="0" w:colLast="0"/>
      <w:bookmarkEnd w:id="8"/>
    </w:p>
    <w:p w14:paraId="3E7A73FF" w14:textId="77777777" w:rsidR="002E625B" w:rsidRPr="00A41C20" w:rsidRDefault="002E625B">
      <w:pPr>
        <w:spacing w:after="0" w:line="276" w:lineRule="auto"/>
        <w:jc w:val="both"/>
        <w:rPr>
          <w:rFonts w:eastAsia="Arial"/>
          <w:b/>
          <w:bCs/>
          <w:sz w:val="24"/>
          <w:szCs w:val="24"/>
        </w:rPr>
      </w:pPr>
      <w:bookmarkStart w:id="9" w:name="_heading=h.4nftvz51trid" w:colFirst="0" w:colLast="0"/>
      <w:bookmarkEnd w:id="9"/>
    </w:p>
    <w:p w14:paraId="3E7A7400" w14:textId="77777777" w:rsidR="002E625B" w:rsidRPr="00A41C20" w:rsidRDefault="002E625B">
      <w:pPr>
        <w:spacing w:after="0" w:line="276" w:lineRule="auto"/>
        <w:jc w:val="both"/>
        <w:rPr>
          <w:rFonts w:eastAsia="Arial"/>
          <w:b/>
          <w:bCs/>
          <w:sz w:val="24"/>
          <w:szCs w:val="24"/>
        </w:rPr>
      </w:pPr>
      <w:bookmarkStart w:id="10" w:name="_heading=h.lmlxg4kkn8um" w:colFirst="0" w:colLast="0"/>
      <w:bookmarkEnd w:id="10"/>
    </w:p>
    <w:p w14:paraId="3E7A7401" w14:textId="77777777" w:rsidR="002E625B" w:rsidRPr="00A41C20" w:rsidRDefault="002E625B">
      <w:pPr>
        <w:spacing w:after="0" w:line="276" w:lineRule="auto"/>
        <w:jc w:val="both"/>
        <w:rPr>
          <w:rFonts w:eastAsia="Arial"/>
          <w:b/>
          <w:bCs/>
          <w:sz w:val="24"/>
          <w:szCs w:val="24"/>
        </w:rPr>
      </w:pPr>
      <w:bookmarkStart w:id="11" w:name="_heading=h.w23v1e5jems3" w:colFirst="0" w:colLast="0"/>
      <w:bookmarkEnd w:id="11"/>
    </w:p>
    <w:p w14:paraId="3E7A7402" w14:textId="77777777" w:rsidR="002E625B" w:rsidRPr="00A41C20" w:rsidRDefault="002E625B">
      <w:pPr>
        <w:spacing w:after="0" w:line="276" w:lineRule="auto"/>
        <w:jc w:val="both"/>
        <w:rPr>
          <w:rFonts w:eastAsia="Arial"/>
          <w:b/>
          <w:bCs/>
          <w:sz w:val="24"/>
          <w:szCs w:val="24"/>
        </w:rPr>
      </w:pPr>
      <w:bookmarkStart w:id="12" w:name="_heading=h.45uj10mp1m9f" w:colFirst="0" w:colLast="0"/>
      <w:bookmarkEnd w:id="12"/>
    </w:p>
    <w:p w14:paraId="3E7A7403" w14:textId="77777777" w:rsidR="002E625B" w:rsidRPr="00A41C20" w:rsidRDefault="002E625B">
      <w:pPr>
        <w:spacing w:after="0" w:line="276" w:lineRule="auto"/>
        <w:jc w:val="both"/>
        <w:rPr>
          <w:rFonts w:eastAsia="Arial"/>
          <w:b/>
          <w:bCs/>
          <w:sz w:val="24"/>
          <w:szCs w:val="24"/>
        </w:rPr>
      </w:pPr>
      <w:bookmarkStart w:id="13" w:name="_heading=h.6uctxid6ma2u" w:colFirst="0" w:colLast="0"/>
      <w:bookmarkEnd w:id="13"/>
    </w:p>
    <w:p w14:paraId="3E7A7404" w14:textId="77777777" w:rsidR="002E625B" w:rsidRPr="00A41C20" w:rsidRDefault="002E625B">
      <w:pPr>
        <w:spacing w:after="0" w:line="276" w:lineRule="auto"/>
        <w:jc w:val="both"/>
        <w:rPr>
          <w:rFonts w:eastAsia="Arial"/>
          <w:b/>
          <w:bCs/>
          <w:sz w:val="24"/>
          <w:szCs w:val="24"/>
        </w:rPr>
      </w:pPr>
      <w:bookmarkStart w:id="14" w:name="_heading=h.fs9udxir3kxf" w:colFirst="0" w:colLast="0"/>
      <w:bookmarkEnd w:id="14"/>
    </w:p>
    <w:p w14:paraId="3E7A7405" w14:textId="77777777" w:rsidR="002E625B" w:rsidRPr="00A41C20" w:rsidRDefault="002E625B">
      <w:pPr>
        <w:spacing w:after="0" w:line="276" w:lineRule="auto"/>
        <w:jc w:val="both"/>
        <w:rPr>
          <w:rFonts w:eastAsia="Arial"/>
          <w:b/>
          <w:bCs/>
          <w:sz w:val="24"/>
          <w:szCs w:val="24"/>
        </w:rPr>
      </w:pPr>
      <w:bookmarkStart w:id="15" w:name="_heading=h.spd4qak7dezp" w:colFirst="0" w:colLast="0"/>
      <w:bookmarkEnd w:id="15"/>
    </w:p>
    <w:p w14:paraId="3E7A7406" w14:textId="77777777" w:rsidR="002E625B" w:rsidRPr="00A41C20" w:rsidRDefault="002E625B">
      <w:pPr>
        <w:spacing w:after="0" w:line="276" w:lineRule="auto"/>
        <w:jc w:val="both"/>
        <w:rPr>
          <w:rFonts w:eastAsia="Arial"/>
          <w:b/>
          <w:bCs/>
          <w:sz w:val="24"/>
          <w:szCs w:val="24"/>
        </w:rPr>
      </w:pPr>
      <w:bookmarkStart w:id="16" w:name="_heading=h.un5ifdckemdn" w:colFirst="0" w:colLast="0"/>
      <w:bookmarkEnd w:id="16"/>
    </w:p>
    <w:p w14:paraId="3E7A7407" w14:textId="77777777" w:rsidR="002E625B" w:rsidRPr="00A41C20" w:rsidRDefault="002E625B">
      <w:pPr>
        <w:spacing w:after="0" w:line="276" w:lineRule="auto"/>
        <w:jc w:val="both"/>
        <w:rPr>
          <w:rFonts w:eastAsia="Arial"/>
          <w:b/>
          <w:bCs/>
          <w:sz w:val="24"/>
          <w:szCs w:val="24"/>
        </w:rPr>
      </w:pPr>
      <w:bookmarkStart w:id="17" w:name="_heading=h.7uu8xgnnwtq0" w:colFirst="0" w:colLast="0"/>
      <w:bookmarkEnd w:id="17"/>
    </w:p>
    <w:p w14:paraId="3E7A7408" w14:textId="77777777" w:rsidR="002E625B" w:rsidRPr="00A41C20" w:rsidRDefault="002E625B">
      <w:pPr>
        <w:spacing w:after="0" w:line="276" w:lineRule="auto"/>
        <w:jc w:val="both"/>
        <w:rPr>
          <w:rFonts w:eastAsia="Arial"/>
          <w:b/>
          <w:bCs/>
          <w:sz w:val="24"/>
          <w:szCs w:val="24"/>
        </w:rPr>
      </w:pPr>
      <w:bookmarkStart w:id="18" w:name="_heading=h.vdpg1mldyc8j" w:colFirst="0" w:colLast="0"/>
      <w:bookmarkEnd w:id="18"/>
    </w:p>
    <w:p w14:paraId="3E7A7409" w14:textId="77777777" w:rsidR="002E625B" w:rsidRPr="00A41C20" w:rsidRDefault="002E625B">
      <w:pPr>
        <w:spacing w:after="0" w:line="276" w:lineRule="auto"/>
        <w:jc w:val="both"/>
        <w:rPr>
          <w:rFonts w:eastAsia="Arial"/>
          <w:b/>
          <w:bCs/>
          <w:sz w:val="24"/>
          <w:szCs w:val="24"/>
        </w:rPr>
      </w:pPr>
      <w:bookmarkStart w:id="19" w:name="_heading=h.k8spnn8imu9k" w:colFirst="0" w:colLast="0"/>
      <w:bookmarkEnd w:id="19"/>
    </w:p>
    <w:p w14:paraId="3E7A740A" w14:textId="77777777" w:rsidR="002E625B" w:rsidRPr="00A41C20" w:rsidRDefault="002E625B">
      <w:pPr>
        <w:spacing w:after="0" w:line="276" w:lineRule="auto"/>
        <w:jc w:val="both"/>
        <w:rPr>
          <w:rFonts w:eastAsia="Arial"/>
          <w:b/>
          <w:bCs/>
          <w:sz w:val="24"/>
          <w:szCs w:val="24"/>
        </w:rPr>
      </w:pPr>
      <w:bookmarkStart w:id="20" w:name="_heading=h.txbm9d7wpsj6" w:colFirst="0" w:colLast="0"/>
      <w:bookmarkEnd w:id="20"/>
    </w:p>
    <w:p w14:paraId="3E7A740B" w14:textId="77777777" w:rsidR="002E625B" w:rsidRPr="00A41C20" w:rsidRDefault="002E625B">
      <w:pPr>
        <w:spacing w:after="0" w:line="276" w:lineRule="auto"/>
        <w:jc w:val="both"/>
        <w:rPr>
          <w:rFonts w:eastAsia="Arial"/>
          <w:b/>
          <w:bCs/>
          <w:sz w:val="24"/>
          <w:szCs w:val="24"/>
        </w:rPr>
      </w:pPr>
      <w:bookmarkStart w:id="21" w:name="_heading=h.ws2jnshm0l9c" w:colFirst="0" w:colLast="0"/>
      <w:bookmarkEnd w:id="21"/>
    </w:p>
    <w:p w14:paraId="3E7A740C" w14:textId="77777777" w:rsidR="002E625B" w:rsidRPr="00A41C20" w:rsidRDefault="002E625B">
      <w:pPr>
        <w:spacing w:after="0" w:line="276" w:lineRule="auto"/>
        <w:jc w:val="both"/>
        <w:rPr>
          <w:rFonts w:eastAsia="Arial"/>
          <w:b/>
          <w:bCs/>
          <w:sz w:val="24"/>
          <w:szCs w:val="24"/>
        </w:rPr>
      </w:pPr>
      <w:bookmarkStart w:id="22" w:name="_heading=h.xm8qcqixaej6" w:colFirst="0" w:colLast="0"/>
      <w:bookmarkEnd w:id="22"/>
    </w:p>
    <w:p w14:paraId="3E7A740D" w14:textId="77777777" w:rsidR="002E625B" w:rsidRPr="00A41C20" w:rsidRDefault="002E625B">
      <w:pPr>
        <w:spacing w:after="0" w:line="276" w:lineRule="auto"/>
        <w:jc w:val="both"/>
        <w:rPr>
          <w:rFonts w:eastAsia="Arial"/>
          <w:b/>
          <w:bCs/>
          <w:sz w:val="24"/>
          <w:szCs w:val="24"/>
        </w:rPr>
      </w:pPr>
      <w:bookmarkStart w:id="23" w:name="_heading=h.q04yypy9c49e" w:colFirst="0" w:colLast="0"/>
      <w:bookmarkEnd w:id="23"/>
    </w:p>
    <w:p w14:paraId="3E7A740E" w14:textId="77777777" w:rsidR="002E625B" w:rsidRPr="00A41C20" w:rsidRDefault="002E625B">
      <w:pPr>
        <w:spacing w:after="0" w:line="276" w:lineRule="auto"/>
        <w:jc w:val="both"/>
        <w:rPr>
          <w:rFonts w:eastAsia="Arial"/>
          <w:b/>
          <w:bCs/>
          <w:sz w:val="24"/>
          <w:szCs w:val="24"/>
        </w:rPr>
      </w:pPr>
      <w:bookmarkStart w:id="24" w:name="_heading=h.ozdby3et0ck2" w:colFirst="0" w:colLast="0"/>
      <w:bookmarkEnd w:id="24"/>
    </w:p>
    <w:p w14:paraId="3E7A740F" w14:textId="77777777" w:rsidR="002E625B" w:rsidRPr="00A41C20" w:rsidRDefault="002E625B">
      <w:pPr>
        <w:spacing w:after="0" w:line="276" w:lineRule="auto"/>
        <w:jc w:val="both"/>
        <w:rPr>
          <w:rFonts w:eastAsia="Arial"/>
          <w:b/>
          <w:bCs/>
          <w:sz w:val="24"/>
          <w:szCs w:val="24"/>
        </w:rPr>
      </w:pPr>
      <w:bookmarkStart w:id="25" w:name="_heading=h.1hqkf25cdypk" w:colFirst="0" w:colLast="0"/>
      <w:bookmarkEnd w:id="25"/>
    </w:p>
    <w:p w14:paraId="3E7A7410" w14:textId="77777777" w:rsidR="002E625B" w:rsidRPr="00A41C20" w:rsidRDefault="002E625B">
      <w:pPr>
        <w:spacing w:after="0" w:line="276" w:lineRule="auto"/>
        <w:jc w:val="both"/>
        <w:rPr>
          <w:rFonts w:eastAsia="Arial"/>
          <w:b/>
          <w:bCs/>
          <w:sz w:val="24"/>
          <w:szCs w:val="24"/>
        </w:rPr>
      </w:pPr>
      <w:bookmarkStart w:id="26" w:name="_heading=h.jq3ur4vt5b9q" w:colFirst="0" w:colLast="0"/>
      <w:bookmarkEnd w:id="26"/>
    </w:p>
    <w:p w14:paraId="3E7A7411" w14:textId="77777777" w:rsidR="002E625B" w:rsidRPr="00A41C20" w:rsidRDefault="002E625B">
      <w:pPr>
        <w:spacing w:after="0" w:line="276" w:lineRule="auto"/>
        <w:jc w:val="both"/>
        <w:rPr>
          <w:rFonts w:eastAsia="Arial"/>
          <w:sz w:val="24"/>
          <w:szCs w:val="24"/>
        </w:rPr>
      </w:pPr>
      <w:bookmarkStart w:id="27" w:name="_heading=h.g6xfpfj9qj0s" w:colFirst="0" w:colLast="0"/>
      <w:bookmarkEnd w:id="27"/>
    </w:p>
    <w:p w14:paraId="3E7A7412" w14:textId="77777777" w:rsidR="002E625B" w:rsidRPr="00A41C20" w:rsidRDefault="002E625B">
      <w:pPr>
        <w:spacing w:after="0" w:line="276" w:lineRule="auto"/>
        <w:jc w:val="center"/>
        <w:rPr>
          <w:rFonts w:eastAsia="Arial"/>
          <w:sz w:val="24"/>
          <w:szCs w:val="24"/>
        </w:rPr>
      </w:pPr>
      <w:bookmarkStart w:id="28" w:name="_heading=h.jufk52t903gi" w:colFirst="0" w:colLast="0"/>
      <w:bookmarkEnd w:id="28"/>
    </w:p>
    <w:p w14:paraId="3E7A7413" w14:textId="77777777" w:rsidR="002E625B" w:rsidRPr="00A41C20" w:rsidRDefault="002E625B">
      <w:pPr>
        <w:spacing w:after="0" w:line="276" w:lineRule="auto"/>
        <w:jc w:val="center"/>
        <w:rPr>
          <w:rFonts w:eastAsia="Arial"/>
          <w:sz w:val="24"/>
          <w:szCs w:val="24"/>
        </w:rPr>
      </w:pPr>
    </w:p>
    <w:p w14:paraId="3E7A7414" w14:textId="51653B5B" w:rsidR="002E625B" w:rsidRPr="00B2698B" w:rsidRDefault="00B2698B" w:rsidP="00A41C20">
      <w:pPr>
        <w:spacing w:after="0" w:line="276" w:lineRule="auto"/>
        <w:rPr>
          <w:rFonts w:ascii="Arial" w:eastAsia="Arial" w:hAnsi="Arial" w:cs="Arial"/>
          <w:b/>
          <w:bCs/>
          <w:sz w:val="40"/>
          <w:szCs w:val="40"/>
        </w:rPr>
      </w:pPr>
      <w:r w:rsidRPr="00B2698B">
        <w:rPr>
          <w:rFonts w:ascii="Arial" w:eastAsia="Arial" w:hAnsi="Arial" w:cs="Arial"/>
          <w:b/>
          <w:bCs/>
          <w:sz w:val="40"/>
          <w:szCs w:val="40"/>
        </w:rPr>
        <w:t>PLAN INSTITUCIONAL DE CAPACITACIÓN</w:t>
      </w:r>
    </w:p>
    <w:p w14:paraId="3E7A7415" w14:textId="77777777" w:rsidR="002E625B" w:rsidRPr="009B57D6" w:rsidRDefault="00A91795" w:rsidP="00A41C20">
      <w:pPr>
        <w:spacing w:after="0" w:line="276" w:lineRule="auto"/>
        <w:rPr>
          <w:rFonts w:eastAsia="Arial"/>
          <w:sz w:val="36"/>
          <w:szCs w:val="36"/>
        </w:rPr>
      </w:pPr>
      <w:r w:rsidRPr="009B57D6">
        <w:rPr>
          <w:rFonts w:eastAsia="Arial"/>
          <w:sz w:val="36"/>
          <w:szCs w:val="36"/>
        </w:rPr>
        <w:t>2026</w:t>
      </w:r>
    </w:p>
    <w:p w14:paraId="3E7A7416" w14:textId="77777777" w:rsidR="002E625B" w:rsidRPr="00A41C20" w:rsidRDefault="002E625B">
      <w:pPr>
        <w:spacing w:after="0" w:line="276" w:lineRule="auto"/>
        <w:jc w:val="both"/>
        <w:rPr>
          <w:rFonts w:eastAsia="Arial"/>
          <w:b/>
          <w:bCs/>
          <w:sz w:val="24"/>
          <w:szCs w:val="24"/>
        </w:rPr>
      </w:pPr>
      <w:bookmarkStart w:id="29" w:name="_heading=h.7xq0q7unndkz" w:colFirst="0" w:colLast="0"/>
      <w:bookmarkEnd w:id="29"/>
    </w:p>
    <w:p w14:paraId="3E7A7417" w14:textId="77777777" w:rsidR="002E625B" w:rsidRPr="00A41C20" w:rsidRDefault="002E625B">
      <w:pPr>
        <w:spacing w:after="0" w:line="276" w:lineRule="auto"/>
        <w:jc w:val="both"/>
        <w:rPr>
          <w:rFonts w:eastAsia="Arial"/>
          <w:b/>
          <w:bCs/>
          <w:sz w:val="24"/>
          <w:szCs w:val="24"/>
        </w:rPr>
      </w:pPr>
      <w:bookmarkStart w:id="30" w:name="_heading=h.bb5uxtoi3z85" w:colFirst="0" w:colLast="0"/>
      <w:bookmarkEnd w:id="30"/>
    </w:p>
    <w:p w14:paraId="3E7A741B" w14:textId="0255A359" w:rsidR="002E625B" w:rsidRPr="00B2698B" w:rsidRDefault="00A91795" w:rsidP="00013174">
      <w:pPr>
        <w:tabs>
          <w:tab w:val="left" w:pos="1500"/>
        </w:tabs>
        <w:spacing w:after="0" w:line="276" w:lineRule="auto"/>
        <w:jc w:val="both"/>
        <w:rPr>
          <w:rFonts w:ascii="Arial" w:eastAsia="Arial" w:hAnsi="Arial" w:cs="Arial"/>
          <w:color w:val="2E75B5"/>
          <w:sz w:val="24"/>
          <w:szCs w:val="24"/>
        </w:rPr>
      </w:pPr>
      <w:bookmarkStart w:id="31" w:name="_heading=h.mejxrau123i0" w:colFirst="0" w:colLast="0"/>
      <w:bookmarkEnd w:id="31"/>
      <w:r w:rsidRPr="00A41C20">
        <w:rPr>
          <w:rFonts w:eastAsia="Arial"/>
          <w:b/>
          <w:bCs/>
          <w:sz w:val="24"/>
          <w:szCs w:val="24"/>
        </w:rPr>
        <w:tab/>
      </w:r>
      <w:bookmarkStart w:id="32" w:name="_heading=h.gjdgxs" w:colFirst="0" w:colLast="0"/>
      <w:bookmarkEnd w:id="32"/>
      <w:r w:rsidRPr="00B2698B">
        <w:rPr>
          <w:rFonts w:ascii="Arial" w:eastAsia="Arial" w:hAnsi="Arial" w:cs="Arial"/>
          <w:color w:val="2E75B5"/>
          <w:sz w:val="24"/>
          <w:szCs w:val="24"/>
        </w:rPr>
        <w:t>Contenido</w:t>
      </w:r>
    </w:p>
    <w:p w14:paraId="3E7A741C" w14:textId="77777777" w:rsidR="002E625B" w:rsidRPr="00B2698B" w:rsidRDefault="002E625B">
      <w:pPr>
        <w:keepLines/>
        <w:pBdr>
          <w:top w:val="nil"/>
          <w:left w:val="nil"/>
          <w:bottom w:val="nil"/>
          <w:right w:val="nil"/>
          <w:between w:val="nil"/>
        </w:pBdr>
        <w:spacing w:after="0"/>
        <w:jc w:val="both"/>
        <w:rPr>
          <w:rFonts w:ascii="Arial" w:eastAsia="Arial" w:hAnsi="Arial" w:cs="Arial"/>
          <w:color w:val="2E75B5"/>
          <w:sz w:val="24"/>
          <w:szCs w:val="24"/>
        </w:rPr>
      </w:pPr>
    </w:p>
    <w:sdt>
      <w:sdtPr>
        <w:rPr>
          <w:rFonts w:ascii="Arial" w:hAnsi="Arial" w:cs="Arial"/>
          <w:sz w:val="24"/>
          <w:szCs w:val="24"/>
        </w:rPr>
        <w:id w:val="1622944802"/>
        <w:docPartObj>
          <w:docPartGallery w:val="Table of Contents"/>
          <w:docPartUnique/>
        </w:docPartObj>
      </w:sdtPr>
      <w:sdtEndPr/>
      <w:sdtContent>
        <w:p w14:paraId="3E7A741D" w14:textId="77777777" w:rsidR="002E625B" w:rsidRPr="00B2698B" w:rsidRDefault="00A91795">
          <w:pPr>
            <w:widowControl w:val="0"/>
            <w:tabs>
              <w:tab w:val="right" w:leader="dot" w:pos="12000"/>
            </w:tabs>
            <w:spacing w:before="60" w:after="0" w:line="240" w:lineRule="auto"/>
            <w:rPr>
              <w:rFonts w:ascii="Arial" w:hAnsi="Arial" w:cs="Arial"/>
              <w:b/>
              <w:bCs/>
              <w:color w:val="000000"/>
              <w:sz w:val="24"/>
              <w:szCs w:val="24"/>
            </w:rPr>
          </w:pPr>
          <w:r w:rsidRPr="00B2698B">
            <w:rPr>
              <w:rFonts w:ascii="Arial" w:hAnsi="Arial" w:cs="Arial"/>
              <w:sz w:val="24"/>
              <w:szCs w:val="24"/>
            </w:rPr>
            <w:fldChar w:fldCharType="begin"/>
          </w:r>
          <w:r w:rsidRPr="00B2698B">
            <w:rPr>
              <w:rFonts w:ascii="Arial" w:hAnsi="Arial" w:cs="Arial"/>
              <w:sz w:val="24"/>
              <w:szCs w:val="24"/>
            </w:rPr>
            <w:instrText xml:space="preserve"> TOC \h \u \z \t "Heading 1,1,Heading 2,2,Heading 3,3,Heading 4,4,Heading 5,5,Heading 6,6,"</w:instrText>
          </w:r>
          <w:r w:rsidRPr="00B2698B">
            <w:rPr>
              <w:rFonts w:ascii="Arial" w:hAnsi="Arial" w:cs="Arial"/>
              <w:sz w:val="24"/>
              <w:szCs w:val="24"/>
            </w:rPr>
            <w:fldChar w:fldCharType="separate"/>
          </w:r>
          <w:hyperlink w:anchor="_heading=h.p16aky57urj5">
            <w:r w:rsidRPr="00B2698B">
              <w:rPr>
                <w:rFonts w:ascii="Arial" w:hAnsi="Arial" w:cs="Arial"/>
                <w:b/>
                <w:bCs/>
                <w:color w:val="000000"/>
                <w:sz w:val="24"/>
                <w:szCs w:val="24"/>
              </w:rPr>
              <w:t>1 Introducción</w:t>
            </w:r>
            <w:r w:rsidRPr="00B2698B">
              <w:rPr>
                <w:rFonts w:ascii="Arial" w:hAnsi="Arial" w:cs="Arial"/>
                <w:b/>
                <w:bCs/>
                <w:color w:val="000000"/>
                <w:sz w:val="24"/>
                <w:szCs w:val="24"/>
              </w:rPr>
              <w:tab/>
              <w:t>4</w:t>
            </w:r>
          </w:hyperlink>
        </w:p>
        <w:p w14:paraId="3E7A741E"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n4gqlhc0f7jv">
            <w:r w:rsidR="00A91795" w:rsidRPr="00B2698B">
              <w:rPr>
                <w:rFonts w:ascii="Arial" w:hAnsi="Arial" w:cs="Arial"/>
                <w:b/>
                <w:bCs/>
                <w:color w:val="000000"/>
                <w:sz w:val="24"/>
                <w:szCs w:val="24"/>
              </w:rPr>
              <w:t>2 Marco normativo</w:t>
            </w:r>
            <w:r w:rsidR="00A91795" w:rsidRPr="00B2698B">
              <w:rPr>
                <w:rFonts w:ascii="Arial" w:hAnsi="Arial" w:cs="Arial"/>
                <w:b/>
                <w:bCs/>
                <w:color w:val="000000"/>
                <w:sz w:val="24"/>
                <w:szCs w:val="24"/>
              </w:rPr>
              <w:tab/>
              <w:t>5</w:t>
            </w:r>
          </w:hyperlink>
        </w:p>
        <w:p w14:paraId="3E7A741F"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tkpzkr8v6vkl">
            <w:r w:rsidR="00A91795" w:rsidRPr="00B2698B">
              <w:rPr>
                <w:rFonts w:ascii="Arial" w:hAnsi="Arial" w:cs="Arial"/>
                <w:b/>
                <w:bCs/>
                <w:color w:val="000000"/>
                <w:sz w:val="24"/>
                <w:szCs w:val="24"/>
              </w:rPr>
              <w:t>3 Objetivos</w:t>
            </w:r>
            <w:r w:rsidR="00A91795" w:rsidRPr="00B2698B">
              <w:rPr>
                <w:rFonts w:ascii="Arial" w:hAnsi="Arial" w:cs="Arial"/>
                <w:b/>
                <w:bCs/>
                <w:color w:val="000000"/>
                <w:sz w:val="24"/>
                <w:szCs w:val="24"/>
              </w:rPr>
              <w:tab/>
              <w:t>7</w:t>
            </w:r>
          </w:hyperlink>
        </w:p>
        <w:p w14:paraId="3E7A7420"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h6ryzkskdzr0">
            <w:r w:rsidR="00A91795" w:rsidRPr="00B2698B">
              <w:rPr>
                <w:rFonts w:ascii="Arial" w:hAnsi="Arial" w:cs="Arial"/>
                <w:color w:val="000000"/>
                <w:sz w:val="24"/>
                <w:szCs w:val="24"/>
              </w:rPr>
              <w:t>3.1 Objetivo general</w:t>
            </w:r>
            <w:r w:rsidR="00A91795" w:rsidRPr="00B2698B">
              <w:rPr>
                <w:rFonts w:ascii="Arial" w:hAnsi="Arial" w:cs="Arial"/>
                <w:color w:val="000000"/>
                <w:sz w:val="24"/>
                <w:szCs w:val="24"/>
              </w:rPr>
              <w:tab/>
              <w:t>7</w:t>
            </w:r>
          </w:hyperlink>
        </w:p>
        <w:p w14:paraId="3E7A7421"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2bd0zvqwcl1v">
            <w:r w:rsidR="00A91795" w:rsidRPr="00B2698B">
              <w:rPr>
                <w:rFonts w:ascii="Arial" w:hAnsi="Arial" w:cs="Arial"/>
                <w:color w:val="000000"/>
                <w:sz w:val="24"/>
                <w:szCs w:val="24"/>
              </w:rPr>
              <w:t>3.2 Objetivos específicos</w:t>
            </w:r>
            <w:r w:rsidR="00A91795" w:rsidRPr="00B2698B">
              <w:rPr>
                <w:rFonts w:ascii="Arial" w:hAnsi="Arial" w:cs="Arial"/>
                <w:color w:val="000000"/>
                <w:sz w:val="24"/>
                <w:szCs w:val="24"/>
              </w:rPr>
              <w:tab/>
              <w:t>8</w:t>
            </w:r>
          </w:hyperlink>
        </w:p>
        <w:p w14:paraId="3E7A7422"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5nn92hlzkn8b">
            <w:r w:rsidR="00A91795" w:rsidRPr="00B2698B">
              <w:rPr>
                <w:rFonts w:ascii="Arial" w:hAnsi="Arial" w:cs="Arial"/>
                <w:b/>
                <w:bCs/>
                <w:color w:val="000000"/>
                <w:sz w:val="24"/>
                <w:szCs w:val="24"/>
              </w:rPr>
              <w:t>4 Alcance</w:t>
            </w:r>
            <w:r w:rsidR="00A91795" w:rsidRPr="00B2698B">
              <w:rPr>
                <w:rFonts w:ascii="Arial" w:hAnsi="Arial" w:cs="Arial"/>
                <w:b/>
                <w:bCs/>
                <w:color w:val="000000"/>
                <w:sz w:val="24"/>
                <w:szCs w:val="24"/>
              </w:rPr>
              <w:tab/>
              <w:t>8</w:t>
            </w:r>
          </w:hyperlink>
        </w:p>
        <w:p w14:paraId="3E7A7423"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iidpthexwj3t">
            <w:r w:rsidR="00A91795" w:rsidRPr="00B2698B">
              <w:rPr>
                <w:rFonts w:ascii="Arial" w:hAnsi="Arial" w:cs="Arial"/>
                <w:color w:val="000000"/>
                <w:sz w:val="24"/>
                <w:szCs w:val="24"/>
              </w:rPr>
              <w:t>4.1 Población Objetivo:</w:t>
            </w:r>
            <w:r w:rsidR="00A91795" w:rsidRPr="00B2698B">
              <w:rPr>
                <w:rFonts w:ascii="Arial" w:hAnsi="Arial" w:cs="Arial"/>
                <w:color w:val="000000"/>
                <w:sz w:val="24"/>
                <w:szCs w:val="24"/>
              </w:rPr>
              <w:tab/>
              <w:t>8</w:t>
            </w:r>
          </w:hyperlink>
        </w:p>
        <w:p w14:paraId="3E7A7424"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30mjt2sabg8u">
            <w:r w:rsidR="00A91795" w:rsidRPr="00B2698B">
              <w:rPr>
                <w:rFonts w:ascii="Arial" w:hAnsi="Arial" w:cs="Arial"/>
                <w:b/>
                <w:bCs/>
                <w:color w:val="000000"/>
                <w:sz w:val="24"/>
                <w:szCs w:val="24"/>
              </w:rPr>
              <w:t>5 Definiciones</w:t>
            </w:r>
            <w:r w:rsidR="00A91795" w:rsidRPr="00B2698B">
              <w:rPr>
                <w:rFonts w:ascii="Arial" w:hAnsi="Arial" w:cs="Arial"/>
                <w:b/>
                <w:bCs/>
                <w:color w:val="000000"/>
                <w:sz w:val="24"/>
                <w:szCs w:val="24"/>
              </w:rPr>
              <w:tab/>
              <w:t>9</w:t>
            </w:r>
          </w:hyperlink>
        </w:p>
        <w:p w14:paraId="3E7A7425"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wpuokwyvsq2e">
            <w:r w:rsidR="00A91795" w:rsidRPr="00B2698B">
              <w:rPr>
                <w:rFonts w:ascii="Arial" w:hAnsi="Arial" w:cs="Arial"/>
                <w:b/>
                <w:bCs/>
                <w:color w:val="000000"/>
                <w:sz w:val="24"/>
                <w:szCs w:val="24"/>
              </w:rPr>
              <w:t>6 Generalidades del Plan Institucional de Capacitación</w:t>
            </w:r>
            <w:r w:rsidR="00A91795" w:rsidRPr="00B2698B">
              <w:rPr>
                <w:rFonts w:ascii="Arial" w:hAnsi="Arial" w:cs="Arial"/>
                <w:b/>
                <w:bCs/>
                <w:color w:val="000000"/>
                <w:sz w:val="24"/>
                <w:szCs w:val="24"/>
              </w:rPr>
              <w:tab/>
              <w:t>12</w:t>
            </w:r>
          </w:hyperlink>
        </w:p>
        <w:p w14:paraId="3E7A7426"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j3rbouh1grqu">
            <w:r w:rsidR="00A91795" w:rsidRPr="00B2698B">
              <w:rPr>
                <w:rFonts w:ascii="Arial" w:hAnsi="Arial" w:cs="Arial"/>
                <w:b/>
                <w:bCs/>
                <w:color w:val="000000"/>
                <w:sz w:val="24"/>
                <w:szCs w:val="24"/>
              </w:rPr>
              <w:t>7 Diagnóstico y justificación</w:t>
            </w:r>
            <w:r w:rsidR="00A91795" w:rsidRPr="00B2698B">
              <w:rPr>
                <w:rFonts w:ascii="Arial" w:hAnsi="Arial" w:cs="Arial"/>
                <w:b/>
                <w:bCs/>
                <w:color w:val="000000"/>
                <w:sz w:val="24"/>
                <w:szCs w:val="24"/>
              </w:rPr>
              <w:tab/>
              <w:t>12</w:t>
            </w:r>
          </w:hyperlink>
        </w:p>
        <w:p w14:paraId="3E7A7427"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izcstbuq1w5c">
            <w:r w:rsidR="00A91795" w:rsidRPr="00B2698B">
              <w:rPr>
                <w:rFonts w:ascii="Arial" w:hAnsi="Arial" w:cs="Arial"/>
                <w:b/>
                <w:bCs/>
                <w:color w:val="000000"/>
                <w:sz w:val="24"/>
                <w:szCs w:val="24"/>
              </w:rPr>
              <w:t>8 Marco conceptual</w:t>
            </w:r>
            <w:r w:rsidR="00A91795" w:rsidRPr="00B2698B">
              <w:rPr>
                <w:rFonts w:ascii="Arial" w:hAnsi="Arial" w:cs="Arial"/>
                <w:b/>
                <w:bCs/>
                <w:color w:val="000000"/>
                <w:sz w:val="24"/>
                <w:szCs w:val="24"/>
              </w:rPr>
              <w:tab/>
              <w:t>14</w:t>
            </w:r>
          </w:hyperlink>
        </w:p>
        <w:p w14:paraId="3E7A7428"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95rdlq5sj154">
            <w:r w:rsidR="00A91795" w:rsidRPr="00B2698B">
              <w:rPr>
                <w:rFonts w:ascii="Arial" w:hAnsi="Arial" w:cs="Arial"/>
                <w:color w:val="000000"/>
                <w:sz w:val="24"/>
                <w:szCs w:val="24"/>
              </w:rPr>
              <w:t>8.1 Paz Total, Memoria y Derechos Humanos (PT):</w:t>
            </w:r>
            <w:r w:rsidR="00A91795" w:rsidRPr="00B2698B">
              <w:rPr>
                <w:rFonts w:ascii="Arial" w:hAnsi="Arial" w:cs="Arial"/>
                <w:color w:val="000000"/>
                <w:sz w:val="24"/>
                <w:szCs w:val="24"/>
              </w:rPr>
              <w:tab/>
              <w:t>14</w:t>
            </w:r>
          </w:hyperlink>
        </w:p>
        <w:p w14:paraId="3E7A7429"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eu7wyx6ewwvn">
            <w:r w:rsidR="00A91795" w:rsidRPr="00B2698B">
              <w:rPr>
                <w:rFonts w:ascii="Arial" w:hAnsi="Arial" w:cs="Arial"/>
                <w:color w:val="000000"/>
                <w:sz w:val="24"/>
                <w:szCs w:val="24"/>
              </w:rPr>
              <w:t>8.2 Mujeres, Inclusión y Diversidad (MID)</w:t>
            </w:r>
            <w:r w:rsidR="00A91795" w:rsidRPr="00B2698B">
              <w:rPr>
                <w:rFonts w:ascii="Arial" w:hAnsi="Arial" w:cs="Arial"/>
                <w:color w:val="000000"/>
                <w:sz w:val="24"/>
                <w:szCs w:val="24"/>
              </w:rPr>
              <w:tab/>
              <w:t>15</w:t>
            </w:r>
          </w:hyperlink>
        </w:p>
        <w:p w14:paraId="3E7A742A"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n7bzkgbwvvud">
            <w:r w:rsidR="00A91795" w:rsidRPr="00B2698B">
              <w:rPr>
                <w:rFonts w:ascii="Arial" w:hAnsi="Arial" w:cs="Arial"/>
                <w:color w:val="000000"/>
                <w:sz w:val="24"/>
                <w:szCs w:val="24"/>
              </w:rPr>
              <w:t>8.3 Transformación Digital y Cibercultura (TDC)</w:t>
            </w:r>
            <w:r w:rsidR="00A91795" w:rsidRPr="00B2698B">
              <w:rPr>
                <w:rFonts w:ascii="Arial" w:hAnsi="Arial" w:cs="Arial"/>
                <w:color w:val="000000"/>
                <w:sz w:val="24"/>
                <w:szCs w:val="24"/>
              </w:rPr>
              <w:tab/>
              <w:t>15</w:t>
            </w:r>
          </w:hyperlink>
        </w:p>
        <w:p w14:paraId="3E7A742B"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hzjyqw993ppn">
            <w:r w:rsidR="00A91795" w:rsidRPr="00B2698B">
              <w:rPr>
                <w:rFonts w:ascii="Arial" w:hAnsi="Arial" w:cs="Arial"/>
                <w:color w:val="000000"/>
                <w:sz w:val="24"/>
                <w:szCs w:val="24"/>
              </w:rPr>
              <w:t>8.4 Probidad, Ética e Identidad de lo Público (PEIP)</w:t>
            </w:r>
            <w:r w:rsidR="00A91795" w:rsidRPr="00B2698B">
              <w:rPr>
                <w:rFonts w:ascii="Arial" w:hAnsi="Arial" w:cs="Arial"/>
                <w:color w:val="000000"/>
                <w:sz w:val="24"/>
                <w:szCs w:val="24"/>
              </w:rPr>
              <w:tab/>
              <w:t>16</w:t>
            </w:r>
          </w:hyperlink>
        </w:p>
        <w:p w14:paraId="3E7A742C"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j7egyontafrg">
            <w:r w:rsidR="00A91795" w:rsidRPr="00B2698B">
              <w:rPr>
                <w:rFonts w:ascii="Arial" w:hAnsi="Arial" w:cs="Arial"/>
                <w:color w:val="000000"/>
                <w:sz w:val="24"/>
                <w:szCs w:val="24"/>
              </w:rPr>
              <w:t>8.5 Habilidades y Competencias (HC)</w:t>
            </w:r>
            <w:r w:rsidR="00A91795" w:rsidRPr="00B2698B">
              <w:rPr>
                <w:rFonts w:ascii="Arial" w:hAnsi="Arial" w:cs="Arial"/>
                <w:color w:val="000000"/>
                <w:sz w:val="24"/>
                <w:szCs w:val="24"/>
              </w:rPr>
              <w:tab/>
              <w:t>16</w:t>
            </w:r>
          </w:hyperlink>
        </w:p>
        <w:p w14:paraId="3E7A742D"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n6rwmhpe7dbc">
            <w:r w:rsidR="00A91795" w:rsidRPr="00B2698B">
              <w:rPr>
                <w:rFonts w:ascii="Arial" w:hAnsi="Arial" w:cs="Arial"/>
                <w:b/>
                <w:bCs/>
                <w:color w:val="000000"/>
                <w:sz w:val="24"/>
                <w:szCs w:val="24"/>
              </w:rPr>
              <w:t>9 Resultados de la vigencia anterior (PIC del 2025)</w:t>
            </w:r>
            <w:r w:rsidR="00A91795" w:rsidRPr="00B2698B">
              <w:rPr>
                <w:rFonts w:ascii="Arial" w:hAnsi="Arial" w:cs="Arial"/>
                <w:b/>
                <w:bCs/>
                <w:color w:val="000000"/>
                <w:sz w:val="24"/>
                <w:szCs w:val="24"/>
              </w:rPr>
              <w:tab/>
              <w:t>17</w:t>
            </w:r>
          </w:hyperlink>
        </w:p>
        <w:p w14:paraId="3E7A742E"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vosg9hrsaaor">
            <w:r w:rsidR="00A91795" w:rsidRPr="00B2698B">
              <w:rPr>
                <w:rFonts w:ascii="Arial" w:hAnsi="Arial" w:cs="Arial"/>
                <w:b/>
                <w:bCs/>
                <w:color w:val="000000"/>
                <w:sz w:val="24"/>
                <w:szCs w:val="24"/>
              </w:rPr>
              <w:t>10 Resultados del indicador asociado al Plan Institucional – vigencia 2025</w:t>
            </w:r>
            <w:r w:rsidR="00A91795" w:rsidRPr="00B2698B">
              <w:rPr>
                <w:rFonts w:ascii="Arial" w:hAnsi="Arial" w:cs="Arial"/>
                <w:b/>
                <w:bCs/>
                <w:color w:val="000000"/>
                <w:sz w:val="24"/>
                <w:szCs w:val="24"/>
              </w:rPr>
              <w:tab/>
              <w:t>18</w:t>
            </w:r>
          </w:hyperlink>
        </w:p>
        <w:p w14:paraId="3E7A742F" w14:textId="77777777" w:rsidR="002E625B" w:rsidRPr="00B2698B" w:rsidRDefault="00505913">
          <w:pPr>
            <w:widowControl w:val="0"/>
            <w:tabs>
              <w:tab w:val="right" w:leader="dot" w:pos="12000"/>
            </w:tabs>
            <w:spacing w:before="60" w:after="0" w:line="240" w:lineRule="auto"/>
            <w:rPr>
              <w:rFonts w:ascii="Arial" w:hAnsi="Arial" w:cs="Arial"/>
              <w:b/>
              <w:bCs/>
              <w:color w:val="000000"/>
              <w:sz w:val="24"/>
              <w:szCs w:val="24"/>
            </w:rPr>
          </w:pPr>
          <w:hyperlink w:anchor="_heading=h.ktkoe5xhv6qj">
            <w:r w:rsidR="00A91795" w:rsidRPr="00B2698B">
              <w:rPr>
                <w:rFonts w:ascii="Arial" w:hAnsi="Arial" w:cs="Arial"/>
                <w:b/>
                <w:bCs/>
                <w:color w:val="000000"/>
                <w:sz w:val="24"/>
                <w:szCs w:val="24"/>
              </w:rPr>
              <w:t>11 Gestión del Plan Institucional de Capacitación – Vigencia 2026</w:t>
            </w:r>
            <w:r w:rsidR="00A91795" w:rsidRPr="00B2698B">
              <w:rPr>
                <w:rFonts w:ascii="Arial" w:hAnsi="Arial" w:cs="Arial"/>
                <w:b/>
                <w:bCs/>
                <w:color w:val="000000"/>
                <w:sz w:val="24"/>
                <w:szCs w:val="24"/>
              </w:rPr>
              <w:tab/>
              <w:t>18</w:t>
            </w:r>
          </w:hyperlink>
        </w:p>
        <w:p w14:paraId="3E7A7430"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i6mxn4d8wlp9">
            <w:r w:rsidR="00A91795" w:rsidRPr="00B2698B">
              <w:rPr>
                <w:rFonts w:ascii="Arial" w:hAnsi="Arial" w:cs="Arial"/>
                <w:color w:val="000000"/>
                <w:sz w:val="24"/>
                <w:szCs w:val="24"/>
              </w:rPr>
              <w:t>11.1 Metodología</w:t>
            </w:r>
            <w:r w:rsidR="00A91795" w:rsidRPr="00B2698B">
              <w:rPr>
                <w:rFonts w:ascii="Arial" w:hAnsi="Arial" w:cs="Arial"/>
                <w:color w:val="000000"/>
                <w:sz w:val="24"/>
                <w:szCs w:val="24"/>
              </w:rPr>
              <w:tab/>
              <w:t>19</w:t>
            </w:r>
          </w:hyperlink>
        </w:p>
        <w:p w14:paraId="3E7A7431"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dbjpqyldpu7e">
            <w:r w:rsidR="00A91795" w:rsidRPr="00B2698B">
              <w:rPr>
                <w:rFonts w:ascii="Arial" w:hAnsi="Arial" w:cs="Arial"/>
                <w:color w:val="000000"/>
                <w:sz w:val="24"/>
                <w:szCs w:val="24"/>
              </w:rPr>
              <w:t>11.2 Cronograma propuesto (Anexo en formato de excel)</w:t>
            </w:r>
            <w:r w:rsidR="00A91795" w:rsidRPr="00B2698B">
              <w:rPr>
                <w:rFonts w:ascii="Arial" w:hAnsi="Arial" w:cs="Arial"/>
                <w:color w:val="000000"/>
                <w:sz w:val="24"/>
                <w:szCs w:val="24"/>
              </w:rPr>
              <w:tab/>
              <w:t>1</w:t>
            </w:r>
          </w:hyperlink>
        </w:p>
        <w:p w14:paraId="3E7A7432" w14:textId="77777777" w:rsidR="002E625B" w:rsidRPr="00B2698B" w:rsidRDefault="00505913">
          <w:pPr>
            <w:widowControl w:val="0"/>
            <w:tabs>
              <w:tab w:val="right" w:leader="dot" w:pos="12000"/>
            </w:tabs>
            <w:spacing w:before="60" w:after="0" w:line="240" w:lineRule="auto"/>
            <w:ind w:left="360"/>
            <w:rPr>
              <w:rFonts w:ascii="Arial" w:hAnsi="Arial" w:cs="Arial"/>
              <w:color w:val="000000"/>
              <w:sz w:val="24"/>
              <w:szCs w:val="24"/>
            </w:rPr>
          </w:pPr>
          <w:hyperlink w:anchor="_heading=h.icy9j4o3d7mo">
            <w:r w:rsidR="00A91795" w:rsidRPr="00B2698B">
              <w:rPr>
                <w:rFonts w:ascii="Arial" w:hAnsi="Arial" w:cs="Arial"/>
                <w:color w:val="000000"/>
                <w:sz w:val="24"/>
                <w:szCs w:val="24"/>
              </w:rPr>
              <w:t>11.3 Seguimiento y evaluación</w:t>
            </w:r>
            <w:r w:rsidR="00A91795" w:rsidRPr="00B2698B">
              <w:rPr>
                <w:rFonts w:ascii="Arial" w:hAnsi="Arial" w:cs="Arial"/>
                <w:color w:val="000000"/>
                <w:sz w:val="24"/>
                <w:szCs w:val="24"/>
              </w:rPr>
              <w:tab/>
              <w:t>7</w:t>
            </w:r>
          </w:hyperlink>
          <w:r w:rsidR="00A91795" w:rsidRPr="00B2698B">
            <w:rPr>
              <w:rFonts w:ascii="Arial" w:hAnsi="Arial" w:cs="Arial"/>
              <w:sz w:val="24"/>
              <w:szCs w:val="24"/>
            </w:rPr>
            <w:fldChar w:fldCharType="end"/>
          </w:r>
        </w:p>
      </w:sdtContent>
    </w:sdt>
    <w:p w14:paraId="3E7A7433" w14:textId="77777777" w:rsidR="002E625B" w:rsidRPr="00B2698B" w:rsidRDefault="002E625B">
      <w:pPr>
        <w:spacing w:line="276" w:lineRule="auto"/>
        <w:jc w:val="both"/>
        <w:rPr>
          <w:rFonts w:ascii="Arial" w:eastAsia="Arial" w:hAnsi="Arial" w:cs="Arial"/>
          <w:sz w:val="24"/>
          <w:szCs w:val="24"/>
        </w:rPr>
      </w:pPr>
    </w:p>
    <w:p w14:paraId="3E7A7434" w14:textId="77777777" w:rsidR="002E625B" w:rsidRPr="00B2698B" w:rsidRDefault="002E625B">
      <w:pPr>
        <w:spacing w:line="276" w:lineRule="auto"/>
        <w:jc w:val="both"/>
        <w:rPr>
          <w:rFonts w:ascii="Arial" w:eastAsia="Arial" w:hAnsi="Arial" w:cs="Arial"/>
          <w:sz w:val="24"/>
          <w:szCs w:val="24"/>
        </w:rPr>
      </w:pPr>
    </w:p>
    <w:p w14:paraId="3E7A7435" w14:textId="77777777" w:rsidR="002E625B" w:rsidRPr="00B2698B" w:rsidRDefault="00A91795">
      <w:pPr>
        <w:spacing w:line="276" w:lineRule="auto"/>
        <w:jc w:val="both"/>
        <w:rPr>
          <w:rFonts w:ascii="Arial" w:eastAsia="Arial" w:hAnsi="Arial" w:cs="Arial"/>
          <w:sz w:val="24"/>
          <w:szCs w:val="24"/>
        </w:rPr>
      </w:pPr>
      <w:r w:rsidRPr="00B2698B">
        <w:rPr>
          <w:rFonts w:ascii="Arial" w:hAnsi="Arial" w:cs="Arial"/>
          <w:sz w:val="24"/>
          <w:szCs w:val="24"/>
        </w:rPr>
        <w:br w:type="page"/>
      </w:r>
    </w:p>
    <w:p w14:paraId="3E7A7436" w14:textId="77777777" w:rsidR="002E625B" w:rsidRPr="00B2698B" w:rsidRDefault="00A91795">
      <w:pPr>
        <w:pStyle w:val="Ttulo1"/>
        <w:numPr>
          <w:ilvl w:val="0"/>
          <w:numId w:val="1"/>
        </w:numPr>
        <w:rPr>
          <w:sz w:val="24"/>
          <w:szCs w:val="24"/>
        </w:rPr>
      </w:pPr>
      <w:bookmarkStart w:id="33" w:name="_heading=h.p16aky57urj5" w:colFirst="0" w:colLast="0"/>
      <w:bookmarkEnd w:id="33"/>
      <w:r w:rsidRPr="00B2698B">
        <w:rPr>
          <w:sz w:val="24"/>
          <w:szCs w:val="24"/>
        </w:rPr>
        <w:lastRenderedPageBreak/>
        <w:t>Introducción</w:t>
      </w:r>
    </w:p>
    <w:p w14:paraId="3E7A7437" w14:textId="77777777" w:rsidR="002E625B" w:rsidRPr="00B2698B" w:rsidRDefault="00A91795">
      <w:pPr>
        <w:spacing w:before="280" w:after="280" w:line="276" w:lineRule="auto"/>
        <w:jc w:val="both"/>
        <w:rPr>
          <w:rFonts w:ascii="Arial" w:eastAsia="Arial" w:hAnsi="Arial" w:cs="Arial"/>
          <w:sz w:val="24"/>
          <w:szCs w:val="24"/>
        </w:rPr>
      </w:pPr>
      <w:bookmarkStart w:id="34" w:name="_heading=h.lqu02yoowgtt" w:colFirst="0" w:colLast="0"/>
      <w:bookmarkEnd w:id="34"/>
      <w:r w:rsidRPr="00B2698B">
        <w:rPr>
          <w:rFonts w:ascii="Arial" w:eastAsia="Arial" w:hAnsi="Arial" w:cs="Arial"/>
          <w:sz w:val="24"/>
          <w:szCs w:val="24"/>
        </w:rPr>
        <w:t>El presente Plan Institucional de Capacitación del Instituto Colombiano de Antropología e Historia (ICANH) se formula como una herramienta estratégica orientada al proceso de formación y capacitación de los servidores públicos y contratistas, en aras de adquirir competencias que permitan mejorar habilidades, actitudes y aptitudes contribuyendo a un mejor desempeño de sus funciones, en relación a las necesidades institucionales, y así mismo, brindar al talento humano conocimientos que les posibiliten</w:t>
      </w:r>
      <w:r w:rsidRPr="00B2698B">
        <w:rPr>
          <w:rFonts w:ascii="Arial" w:eastAsia="Arial" w:hAnsi="Arial" w:cs="Arial"/>
          <w:sz w:val="24"/>
          <w:szCs w:val="24"/>
        </w:rPr>
        <w:tab/>
        <w:t>un crecimiento personal y profesional.</w:t>
      </w:r>
    </w:p>
    <w:p w14:paraId="3E7A7438" w14:textId="77777777" w:rsidR="002E625B" w:rsidRPr="00B2698B" w:rsidRDefault="00A91795">
      <w:pPr>
        <w:spacing w:before="280" w:after="280" w:line="276" w:lineRule="auto"/>
        <w:jc w:val="both"/>
        <w:rPr>
          <w:rFonts w:ascii="Arial" w:eastAsia="Arial" w:hAnsi="Arial" w:cs="Arial"/>
          <w:sz w:val="24"/>
          <w:szCs w:val="24"/>
        </w:rPr>
      </w:pPr>
      <w:bookmarkStart w:id="35" w:name="_heading=h.c5qkdlfgbf26" w:colFirst="0" w:colLast="0"/>
      <w:bookmarkEnd w:id="35"/>
      <w:r w:rsidRPr="00B2698B">
        <w:rPr>
          <w:rFonts w:ascii="Arial" w:eastAsia="Arial" w:hAnsi="Arial" w:cs="Arial"/>
          <w:sz w:val="24"/>
          <w:szCs w:val="24"/>
        </w:rPr>
        <w:t xml:space="preserve">Como mecanismo especial del proceso de desarrollo del Recurso Humano dentro del Instituto, acorde a la Ley 1064 de 2006 en el marco de la </w:t>
      </w:r>
      <w:r w:rsidRPr="00B2698B">
        <w:rPr>
          <w:rFonts w:ascii="Arial" w:eastAsia="Arial" w:hAnsi="Arial" w:cs="Arial"/>
          <w:b/>
          <w:bCs/>
          <w:sz w:val="24"/>
          <w:szCs w:val="24"/>
        </w:rPr>
        <w:t>Educación para el Trabajo y el Desarrollo Humano</w:t>
      </w:r>
      <w:r w:rsidRPr="00B2698B">
        <w:rPr>
          <w:rFonts w:ascii="Arial" w:eastAsia="Arial" w:hAnsi="Arial" w:cs="Arial"/>
          <w:sz w:val="24"/>
          <w:szCs w:val="24"/>
        </w:rPr>
        <w:t>, define la capacitación, como procesos organizados de educación no formal e informal orientados a actualizar, complementar, suplir conocimientos y formar en aspectos académicos o laborales, lo cual implica una serie de acciones definidas lideradas por la entidad en condiciones y etapas orientadas a lograr la potencialización de las destrezas, el incremento y mantenimiento de la eficiencia del funcionarios para su buen desempeño e idoneidad en el momento de ejercer su cargo dentro de la entidad.</w:t>
      </w:r>
    </w:p>
    <w:p w14:paraId="3E7A7439" w14:textId="77777777" w:rsidR="002E625B" w:rsidRPr="00B2698B" w:rsidRDefault="00A91795">
      <w:pPr>
        <w:spacing w:before="280" w:after="280" w:line="276" w:lineRule="auto"/>
        <w:jc w:val="both"/>
        <w:rPr>
          <w:rFonts w:ascii="Arial" w:eastAsia="Arial" w:hAnsi="Arial" w:cs="Arial"/>
          <w:sz w:val="24"/>
          <w:szCs w:val="24"/>
        </w:rPr>
      </w:pPr>
      <w:bookmarkStart w:id="36" w:name="_heading=h.g04crdvsg2ec" w:colFirst="0" w:colLast="0"/>
      <w:bookmarkEnd w:id="36"/>
      <w:r w:rsidRPr="00B2698B">
        <w:rPr>
          <w:rFonts w:ascii="Arial" w:eastAsia="Arial" w:hAnsi="Arial" w:cs="Arial"/>
          <w:sz w:val="24"/>
          <w:szCs w:val="24"/>
        </w:rPr>
        <w:t>Para la vigencia 2026, se realizaron acciones con diferentes actores, como el Sindicato, trabajadores y otros, para identificar necesidades específicas de capacitación que potencialicen el buen desempeño de la labor realizada en los grupos de trabajo, teniendo en cuenta la normatividad vigente, los informes de la evaluación de desempeño y los resultados de las auditorías internas, que den respuesta a la misionalidad del ICANH.</w:t>
      </w:r>
    </w:p>
    <w:p w14:paraId="3E7A743A" w14:textId="77777777" w:rsidR="002E625B" w:rsidRPr="00B2698B" w:rsidRDefault="002E625B">
      <w:pPr>
        <w:spacing w:before="280" w:after="280" w:line="480" w:lineRule="auto"/>
        <w:jc w:val="both"/>
        <w:rPr>
          <w:rFonts w:ascii="Arial" w:eastAsia="Arial" w:hAnsi="Arial" w:cs="Arial"/>
          <w:sz w:val="24"/>
          <w:szCs w:val="24"/>
        </w:rPr>
      </w:pPr>
    </w:p>
    <w:p w14:paraId="3E7A743B" w14:textId="77777777" w:rsidR="002E625B" w:rsidRPr="00B2698B" w:rsidRDefault="00A91795">
      <w:pPr>
        <w:spacing w:before="280" w:after="280" w:line="480" w:lineRule="auto"/>
        <w:jc w:val="both"/>
        <w:rPr>
          <w:rFonts w:ascii="Arial" w:eastAsia="Arial" w:hAnsi="Arial" w:cs="Arial"/>
          <w:sz w:val="24"/>
          <w:szCs w:val="24"/>
        </w:rPr>
      </w:pPr>
      <w:r w:rsidRPr="00B2698B">
        <w:rPr>
          <w:rFonts w:ascii="Arial" w:hAnsi="Arial" w:cs="Arial"/>
          <w:sz w:val="24"/>
          <w:szCs w:val="24"/>
        </w:rPr>
        <w:br w:type="page"/>
      </w:r>
    </w:p>
    <w:p w14:paraId="3E7A743C" w14:textId="77777777" w:rsidR="002E625B" w:rsidRPr="00B2698B" w:rsidRDefault="00A91795">
      <w:pPr>
        <w:pStyle w:val="Ttulo1"/>
        <w:numPr>
          <w:ilvl w:val="0"/>
          <w:numId w:val="1"/>
        </w:numPr>
        <w:rPr>
          <w:sz w:val="24"/>
          <w:szCs w:val="24"/>
        </w:rPr>
      </w:pPr>
      <w:bookmarkStart w:id="37" w:name="_heading=h.n4gqlhc0f7jv" w:colFirst="0" w:colLast="0"/>
      <w:bookmarkEnd w:id="37"/>
      <w:r w:rsidRPr="00B2698B">
        <w:rPr>
          <w:sz w:val="24"/>
          <w:szCs w:val="24"/>
        </w:rPr>
        <w:lastRenderedPageBreak/>
        <w:t>Marco normativo</w:t>
      </w:r>
    </w:p>
    <w:p w14:paraId="3E7A743D" w14:textId="77777777" w:rsidR="002E625B" w:rsidRPr="00B2698B" w:rsidRDefault="002E625B">
      <w:pPr>
        <w:spacing w:after="0"/>
        <w:jc w:val="both"/>
        <w:rPr>
          <w:rFonts w:ascii="Arial" w:eastAsia="Arial" w:hAnsi="Arial" w:cs="Arial"/>
          <w:sz w:val="24"/>
          <w:szCs w:val="24"/>
        </w:rPr>
      </w:pPr>
    </w:p>
    <w:p w14:paraId="3E7A743E" w14:textId="77777777" w:rsidR="002E625B" w:rsidRPr="00B2698B" w:rsidRDefault="00A91795">
      <w:pPr>
        <w:spacing w:after="0"/>
        <w:jc w:val="both"/>
        <w:rPr>
          <w:rFonts w:ascii="Arial" w:eastAsia="Arial" w:hAnsi="Arial" w:cs="Arial"/>
          <w:sz w:val="24"/>
          <w:szCs w:val="24"/>
        </w:rPr>
      </w:pPr>
      <w:r w:rsidRPr="00B2698B">
        <w:rPr>
          <w:rFonts w:ascii="Arial" w:eastAsia="Arial" w:hAnsi="Arial" w:cs="Arial"/>
          <w:sz w:val="24"/>
          <w:szCs w:val="24"/>
        </w:rPr>
        <w:t>El plan se rige bajo la normativa vigente colombiana, destacando:</w:t>
      </w:r>
    </w:p>
    <w:p w14:paraId="3E7A743F" w14:textId="77777777" w:rsidR="002E625B" w:rsidRPr="00B2698B" w:rsidRDefault="002E625B">
      <w:pPr>
        <w:spacing w:after="0"/>
        <w:jc w:val="both"/>
        <w:rPr>
          <w:rFonts w:ascii="Arial" w:eastAsia="Arial" w:hAnsi="Arial" w:cs="Arial"/>
          <w:sz w:val="24"/>
          <w:szCs w:val="24"/>
        </w:rPr>
      </w:pPr>
    </w:p>
    <w:tbl>
      <w:tblPr>
        <w:tblStyle w:val="aff0"/>
        <w:tblW w:w="921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3"/>
        <w:gridCol w:w="5959"/>
      </w:tblGrid>
      <w:tr w:rsidR="002E625B" w:rsidRPr="00B2698B" w14:paraId="3E7A7442" w14:textId="77777777">
        <w:trPr>
          <w:trHeight w:val="285"/>
        </w:trPr>
        <w:tc>
          <w:tcPr>
            <w:tcW w:w="325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E7A7440"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Norma</w:t>
            </w:r>
          </w:p>
        </w:tc>
        <w:tc>
          <w:tcPr>
            <w:tcW w:w="595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E7A7441"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Descripción</w:t>
            </w:r>
          </w:p>
        </w:tc>
      </w:tr>
      <w:tr w:rsidR="002E625B" w:rsidRPr="00B2698B" w14:paraId="3E7A7445" w14:textId="77777777">
        <w:trPr>
          <w:trHeight w:val="1440"/>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43"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Constitución Política de Colombia</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44"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Establece como fines esenciales del Estado el bienestar general y el mejoramiento de la calidad de vida de la población, principios que orientan la formación y el desarrollo del talento humano al servicio del interés general.</w:t>
            </w:r>
          </w:p>
        </w:tc>
      </w:tr>
      <w:tr w:rsidR="002E625B" w:rsidRPr="00B2698B" w14:paraId="3E7A7448" w14:textId="77777777">
        <w:trPr>
          <w:trHeight w:val="1440"/>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46"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Ley 909 de 2004</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47"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Regula el empleo público, la carrera administrativa y la gerencia pública. En su artículo 36 dispone la obligación de las entidades de implementar programas de capacitación, bienestar e incentivos con el fin de mejorar la eficiencia, satisfacción y desempeño de los servidores públicos.</w:t>
            </w:r>
          </w:p>
        </w:tc>
      </w:tr>
      <w:tr w:rsidR="002E625B" w:rsidRPr="00B2698B" w14:paraId="3E7A744B" w14:textId="77777777">
        <w:trPr>
          <w:trHeight w:val="1155"/>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49"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Decreto Ley 1567 de 1998</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4A"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Crea el Sistema de Estímulos para los empleados del Estado y establece la capacitación como un componente fundamental del desarrollo del talento humano, orientado al mejoramiento del desempeño y la calidad de vida laboral.</w:t>
            </w:r>
          </w:p>
        </w:tc>
      </w:tr>
      <w:tr w:rsidR="002E625B" w:rsidRPr="00B2698B" w14:paraId="3E7A744E" w14:textId="77777777">
        <w:trPr>
          <w:trHeight w:val="1155"/>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4C"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Decreto 1083 de 2015</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4D"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Decreto Único Reglamentario del Sector Función Pública. En el Título 10 regula el sistema de estímulos y establece lineamientos para la formulación, ejecución y evaluación de los planes de capacitación en las entidades públicas.</w:t>
            </w:r>
          </w:p>
        </w:tc>
      </w:tr>
      <w:tr w:rsidR="002E625B" w:rsidRPr="00B2698B" w14:paraId="3E7A7451" w14:textId="77777777">
        <w:trPr>
          <w:trHeight w:val="1740"/>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4F"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lastRenderedPageBreak/>
              <w:t>Ley 1960 de 2019</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50"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Modifica el Decreto Ley 1567 de 1998 y fortalece la capacitación como herramienta para el desarrollo de competencias, la movilidad y el crecimiento profesional de los servidores públicos, promoviendo procesos de formación acordes con las necesidades institucionales.</w:t>
            </w:r>
          </w:p>
        </w:tc>
      </w:tr>
      <w:tr w:rsidR="002E625B" w:rsidRPr="00B2698B" w14:paraId="3E7A7454" w14:textId="77777777">
        <w:trPr>
          <w:trHeight w:val="1740"/>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52"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Ley 1221 de 2008</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53"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Establece normas para promover y regular el teletrabajo, lo cual implica el fortalecimiento de competencias digitales y el uso adecuado de herramientas tecnológicas mediante procesos de capacitación institucional.</w:t>
            </w:r>
          </w:p>
        </w:tc>
      </w:tr>
      <w:tr w:rsidR="002E625B" w:rsidRPr="00B2698B" w14:paraId="3E7A7457" w14:textId="77777777">
        <w:trPr>
          <w:trHeight w:val="1740"/>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55"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Ley 1811 de 2016</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56"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Incentiva el uso de la bicicleta como medio de transporte y reconoce beneficios laborales, lo cual se articula con acciones de sensibilización y formación en hábitos saludables y sostenibles dentro de la entidad.</w:t>
            </w:r>
          </w:p>
        </w:tc>
      </w:tr>
      <w:tr w:rsidR="002E625B" w:rsidRPr="00B2698B" w14:paraId="3E7A745A" w14:textId="77777777">
        <w:trPr>
          <w:trHeight w:val="1740"/>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58"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Ley 1857 de 2017</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59"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Fortalece la protección de la familia como núcleo fundamental de la sociedad, promoviendo medidas de conciliación entre la vida laboral y familiar, las cuales pueden ser apoyadas mediante procesos de formación y sensibilización institucional.</w:t>
            </w:r>
          </w:p>
        </w:tc>
      </w:tr>
      <w:tr w:rsidR="002E625B" w:rsidRPr="00B2698B" w14:paraId="3E7A745D" w14:textId="77777777">
        <w:trPr>
          <w:trHeight w:val="1740"/>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5B"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Ley 2088 de 2021</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5C"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Regula el trabajo en casa y establece condiciones para su implementación, generando la necesidad de capacitar a los servidores públicos en el uso de herramientas tecnológicas, gestión del tiempo y cumplimiento de funciones bajo esta modalidad.</w:t>
            </w:r>
          </w:p>
        </w:tc>
      </w:tr>
      <w:tr w:rsidR="002E625B" w:rsidRPr="00B2698B" w14:paraId="3E7A7460" w14:textId="77777777">
        <w:trPr>
          <w:trHeight w:val="1410"/>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5E"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lastRenderedPageBreak/>
              <w:t>Ley 2191 de 2022</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5F"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Regula la desconexión laboral, garantizando el respeto al tiempo de descanso y la vida personal de los servidores públicos, lo cual se articula con procesos de capacitación en bienestar, autocuidado y gestión saludable del trabajo.</w:t>
            </w:r>
          </w:p>
        </w:tc>
      </w:tr>
      <w:tr w:rsidR="002E625B" w:rsidRPr="00B2698B" w14:paraId="3E7A7463" w14:textId="77777777">
        <w:trPr>
          <w:trHeight w:val="1155"/>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61"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Modelo Integrado de Planeación y Gestión – MIPG</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62"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En el marco de la Política de Gestión Estratégica del Talento Humano, establece la capacitación como un eje fundamental para el desarrollo de competencias, el mejoramiento del desempeño y la generación de valor público.</w:t>
            </w:r>
          </w:p>
        </w:tc>
      </w:tr>
      <w:tr w:rsidR="002E625B" w:rsidRPr="00B2698B" w14:paraId="3E7A7466" w14:textId="77777777">
        <w:trPr>
          <w:trHeight w:val="1155"/>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64"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Lineamientos del Plan Institucional de Capacitación – DAFP</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65"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Orientan la formulación, ejecución y evaluación de los planes de capacitación en las entidades públicas, promoviendo un enfoque estratégico basado en necesidades reales, brechas de competencias y prioridades institucionales.</w:t>
            </w:r>
          </w:p>
        </w:tc>
      </w:tr>
      <w:tr w:rsidR="002E625B" w:rsidRPr="00B2698B" w14:paraId="3E7A7469" w14:textId="77777777">
        <w:trPr>
          <w:trHeight w:val="1155"/>
        </w:trPr>
        <w:tc>
          <w:tcPr>
            <w:tcW w:w="325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7A7467" w14:textId="77777777" w:rsidR="002E625B" w:rsidRPr="00B2698B" w:rsidRDefault="00A91795">
            <w:pPr>
              <w:spacing w:before="240" w:after="0" w:line="276" w:lineRule="auto"/>
              <w:jc w:val="both"/>
              <w:rPr>
                <w:rFonts w:ascii="Arial" w:eastAsia="Arial" w:hAnsi="Arial" w:cs="Arial"/>
                <w:b/>
                <w:bCs/>
                <w:sz w:val="24"/>
                <w:szCs w:val="24"/>
              </w:rPr>
            </w:pPr>
            <w:r w:rsidRPr="00B2698B">
              <w:rPr>
                <w:rFonts w:ascii="Arial" w:eastAsia="Arial" w:hAnsi="Arial" w:cs="Arial"/>
                <w:b/>
                <w:bCs/>
                <w:sz w:val="24"/>
                <w:szCs w:val="24"/>
              </w:rPr>
              <w:t>Plan Estratégico de Talento Humano – ICANH</w:t>
            </w:r>
          </w:p>
        </w:tc>
        <w:tc>
          <w:tcPr>
            <w:tcW w:w="5959" w:type="dxa"/>
            <w:tcBorders>
              <w:top w:val="nil"/>
              <w:left w:val="nil"/>
              <w:bottom w:val="single" w:sz="5" w:space="0" w:color="000000"/>
              <w:right w:val="single" w:sz="5" w:space="0" w:color="000000"/>
            </w:tcBorders>
            <w:tcMar>
              <w:top w:w="0" w:type="dxa"/>
              <w:left w:w="100" w:type="dxa"/>
              <w:bottom w:w="0" w:type="dxa"/>
              <w:right w:w="100" w:type="dxa"/>
            </w:tcMar>
          </w:tcPr>
          <w:p w14:paraId="3E7A7468" w14:textId="77777777" w:rsidR="002E625B" w:rsidRPr="00B2698B" w:rsidRDefault="00A91795">
            <w:pPr>
              <w:spacing w:before="240" w:after="0" w:line="276" w:lineRule="auto"/>
              <w:jc w:val="both"/>
              <w:rPr>
                <w:rFonts w:ascii="Arial" w:eastAsia="Arial" w:hAnsi="Arial" w:cs="Arial"/>
                <w:sz w:val="24"/>
                <w:szCs w:val="24"/>
              </w:rPr>
            </w:pPr>
            <w:r w:rsidRPr="00B2698B">
              <w:rPr>
                <w:rFonts w:ascii="Arial" w:eastAsia="Arial" w:hAnsi="Arial" w:cs="Arial"/>
                <w:sz w:val="24"/>
                <w:szCs w:val="24"/>
              </w:rPr>
              <w:t>Define los lineamientos institucionales para el desarrollo del talento humano, con los cuales debe articularse el Plan Institucional de Capacitación.</w:t>
            </w:r>
          </w:p>
        </w:tc>
      </w:tr>
    </w:tbl>
    <w:p w14:paraId="3E7A746A" w14:textId="44DA0833" w:rsidR="002E625B" w:rsidRPr="00B2698B" w:rsidRDefault="00A91795">
      <w:pPr>
        <w:spacing w:after="0"/>
        <w:jc w:val="both"/>
        <w:rPr>
          <w:rFonts w:ascii="Arial" w:eastAsia="Arial" w:hAnsi="Arial" w:cs="Arial"/>
          <w:i/>
          <w:iCs/>
          <w:sz w:val="24"/>
          <w:szCs w:val="24"/>
        </w:rPr>
      </w:pPr>
      <w:r w:rsidRPr="00B2698B">
        <w:rPr>
          <w:rFonts w:ascii="Arial" w:eastAsia="Arial" w:hAnsi="Arial" w:cs="Arial"/>
          <w:i/>
          <w:iCs/>
          <w:sz w:val="24"/>
          <w:szCs w:val="24"/>
        </w:rPr>
        <w:t>Tabla 1. Marco normativo Plan Institucional de capacitaciones</w:t>
      </w:r>
      <w:r w:rsidR="00A41C20" w:rsidRPr="00B2698B">
        <w:rPr>
          <w:rFonts w:ascii="Arial" w:eastAsia="Arial" w:hAnsi="Arial" w:cs="Arial"/>
          <w:i/>
          <w:iCs/>
          <w:sz w:val="24"/>
          <w:szCs w:val="24"/>
        </w:rPr>
        <w:t xml:space="preserve"> </w:t>
      </w:r>
      <w:r w:rsidRPr="00B2698B">
        <w:rPr>
          <w:rFonts w:ascii="Arial" w:eastAsia="Arial" w:hAnsi="Arial" w:cs="Arial"/>
          <w:i/>
          <w:iCs/>
          <w:sz w:val="24"/>
          <w:szCs w:val="24"/>
        </w:rPr>
        <w:t>2026</w:t>
      </w:r>
    </w:p>
    <w:p w14:paraId="3E7A746B" w14:textId="77777777" w:rsidR="002E625B" w:rsidRPr="00B2698B" w:rsidRDefault="002E625B">
      <w:pPr>
        <w:spacing w:after="0"/>
        <w:jc w:val="both"/>
        <w:rPr>
          <w:rFonts w:ascii="Arial" w:eastAsia="Arial" w:hAnsi="Arial" w:cs="Arial"/>
          <w:i/>
          <w:iCs/>
          <w:sz w:val="24"/>
          <w:szCs w:val="24"/>
        </w:rPr>
      </w:pPr>
    </w:p>
    <w:p w14:paraId="3E7A746C" w14:textId="77777777" w:rsidR="002E625B" w:rsidRPr="00B2698B" w:rsidRDefault="00A91795">
      <w:pPr>
        <w:pStyle w:val="Ttulo1"/>
        <w:numPr>
          <w:ilvl w:val="0"/>
          <w:numId w:val="1"/>
        </w:numPr>
        <w:rPr>
          <w:sz w:val="24"/>
          <w:szCs w:val="24"/>
        </w:rPr>
      </w:pPr>
      <w:bookmarkStart w:id="38" w:name="_heading=h.tkpzkr8v6vkl" w:colFirst="0" w:colLast="0"/>
      <w:bookmarkEnd w:id="38"/>
      <w:r w:rsidRPr="00B2698B">
        <w:rPr>
          <w:sz w:val="24"/>
          <w:szCs w:val="24"/>
        </w:rPr>
        <w:t>Objetivos</w:t>
      </w:r>
    </w:p>
    <w:p w14:paraId="3E7A746D" w14:textId="77777777" w:rsidR="002E625B" w:rsidRPr="00B2698B" w:rsidRDefault="00A91795">
      <w:pPr>
        <w:pStyle w:val="Ttulo2"/>
        <w:numPr>
          <w:ilvl w:val="1"/>
          <w:numId w:val="1"/>
        </w:numPr>
        <w:rPr>
          <w:sz w:val="24"/>
          <w:szCs w:val="24"/>
        </w:rPr>
      </w:pPr>
      <w:bookmarkStart w:id="39" w:name="_heading=h.h6ryzkskdzr0" w:colFirst="0" w:colLast="0"/>
      <w:bookmarkEnd w:id="39"/>
      <w:r w:rsidRPr="00B2698B">
        <w:rPr>
          <w:sz w:val="24"/>
          <w:szCs w:val="24"/>
        </w:rPr>
        <w:t>Objetivo general</w:t>
      </w:r>
    </w:p>
    <w:p w14:paraId="3E7A746E" w14:textId="77777777" w:rsidR="002E625B" w:rsidRPr="00B2698B" w:rsidRDefault="002E625B">
      <w:pPr>
        <w:spacing w:after="0" w:line="240" w:lineRule="auto"/>
        <w:ind w:left="720"/>
        <w:jc w:val="both"/>
        <w:rPr>
          <w:rFonts w:ascii="Arial" w:eastAsia="Arial" w:hAnsi="Arial" w:cs="Arial"/>
          <w:b/>
          <w:bCs/>
          <w:sz w:val="24"/>
          <w:szCs w:val="24"/>
        </w:rPr>
      </w:pPr>
    </w:p>
    <w:p w14:paraId="3E7A746F" w14:textId="77777777" w:rsidR="002E625B" w:rsidRPr="00B2698B" w:rsidRDefault="00A91795">
      <w:pPr>
        <w:spacing w:after="0" w:line="276" w:lineRule="auto"/>
        <w:jc w:val="both"/>
        <w:rPr>
          <w:rFonts w:ascii="Arial" w:eastAsia="Arial" w:hAnsi="Arial" w:cs="Arial"/>
          <w:sz w:val="24"/>
          <w:szCs w:val="24"/>
        </w:rPr>
      </w:pPr>
      <w:r w:rsidRPr="00B2698B">
        <w:rPr>
          <w:rFonts w:ascii="Arial" w:eastAsia="Arial" w:hAnsi="Arial" w:cs="Arial"/>
          <w:sz w:val="24"/>
          <w:szCs w:val="24"/>
        </w:rPr>
        <w:t xml:space="preserve">Contribuir al fortalecimiento de las capacidades y competencias del talento humano del Instituto Colombiano de Antropología e Historia (ICANH) en áreas estratégicas como la </w:t>
      </w:r>
      <w:r w:rsidRPr="00B2698B">
        <w:rPr>
          <w:rFonts w:ascii="Arial" w:eastAsia="Arial" w:hAnsi="Arial" w:cs="Arial"/>
          <w:sz w:val="24"/>
          <w:szCs w:val="24"/>
        </w:rPr>
        <w:lastRenderedPageBreak/>
        <w:t>gestión tecnológica, el cumplimiento normativo y la integridad en la gestión pública, asegurando la gestión del conocimiento, circulación e intercambio de saberes y el fortalecimiento de las capacidades institucionales.</w:t>
      </w:r>
    </w:p>
    <w:p w14:paraId="3E7A7470" w14:textId="77777777" w:rsidR="002E625B" w:rsidRPr="00B2698B" w:rsidRDefault="00A91795">
      <w:pPr>
        <w:pStyle w:val="Ttulo2"/>
        <w:numPr>
          <w:ilvl w:val="1"/>
          <w:numId w:val="1"/>
        </w:numPr>
        <w:rPr>
          <w:sz w:val="24"/>
          <w:szCs w:val="24"/>
        </w:rPr>
      </w:pPr>
      <w:bookmarkStart w:id="40" w:name="_heading=h.2bd0zvqwcl1v" w:colFirst="0" w:colLast="0"/>
      <w:bookmarkEnd w:id="40"/>
      <w:r w:rsidRPr="00B2698B">
        <w:rPr>
          <w:sz w:val="24"/>
          <w:szCs w:val="24"/>
        </w:rPr>
        <w:t>Objetivos específicos</w:t>
      </w:r>
    </w:p>
    <w:p w14:paraId="3E7A7471" w14:textId="77777777" w:rsidR="002E625B" w:rsidRPr="00B2698B" w:rsidRDefault="002E625B">
      <w:pPr>
        <w:spacing w:after="0" w:line="276" w:lineRule="auto"/>
        <w:jc w:val="both"/>
        <w:rPr>
          <w:rFonts w:ascii="Arial" w:eastAsia="Arial" w:hAnsi="Arial" w:cs="Arial"/>
          <w:b/>
          <w:bCs/>
          <w:sz w:val="24"/>
          <w:szCs w:val="24"/>
        </w:rPr>
      </w:pPr>
    </w:p>
    <w:p w14:paraId="3E7A7472" w14:textId="77777777" w:rsidR="002E625B" w:rsidRPr="00B2698B" w:rsidRDefault="00A91795">
      <w:pPr>
        <w:numPr>
          <w:ilvl w:val="0"/>
          <w:numId w:val="2"/>
        </w:numPr>
        <w:spacing w:after="0" w:line="276" w:lineRule="auto"/>
        <w:jc w:val="both"/>
        <w:rPr>
          <w:rFonts w:ascii="Arial" w:eastAsia="Arial" w:hAnsi="Arial" w:cs="Arial"/>
          <w:sz w:val="24"/>
          <w:szCs w:val="24"/>
        </w:rPr>
      </w:pPr>
      <w:r w:rsidRPr="00B2698B">
        <w:rPr>
          <w:rFonts w:ascii="Arial" w:eastAsia="Arial" w:hAnsi="Arial" w:cs="Arial"/>
          <w:sz w:val="24"/>
          <w:szCs w:val="24"/>
        </w:rPr>
        <w:t>Promover la formación en perspectiva de género, inclusión y diversidad, asegurando un entendimiento y aplicación de políticas y estrategias para la no discriminación, la equidad y la prevención de violencias basadas en género en el ámbito laboral y misional.</w:t>
      </w:r>
    </w:p>
    <w:p w14:paraId="3E7A7473" w14:textId="77777777" w:rsidR="002E625B" w:rsidRPr="00B2698B" w:rsidRDefault="00A91795">
      <w:pPr>
        <w:numPr>
          <w:ilvl w:val="0"/>
          <w:numId w:val="2"/>
        </w:numPr>
        <w:spacing w:after="0" w:line="276" w:lineRule="auto"/>
        <w:jc w:val="both"/>
        <w:rPr>
          <w:rFonts w:ascii="Arial" w:eastAsia="Arial" w:hAnsi="Arial" w:cs="Arial"/>
          <w:sz w:val="24"/>
          <w:szCs w:val="24"/>
        </w:rPr>
      </w:pPr>
      <w:r w:rsidRPr="00B2698B">
        <w:rPr>
          <w:rFonts w:ascii="Arial" w:eastAsia="Arial" w:hAnsi="Arial" w:cs="Arial"/>
          <w:sz w:val="24"/>
          <w:szCs w:val="24"/>
        </w:rPr>
        <w:t>Capacitar al personal en el enfoque de derechos humanos, la construcción de paz y la gestión de la memoria histórica, fortaleciendo la aplicación de estos principios en la investigación, la conservación del patrimonio y la intervención misional del ICANH.</w:t>
      </w:r>
    </w:p>
    <w:p w14:paraId="3E7A7474" w14:textId="77777777" w:rsidR="002E625B" w:rsidRPr="00B2698B" w:rsidRDefault="00A91795">
      <w:pPr>
        <w:numPr>
          <w:ilvl w:val="0"/>
          <w:numId w:val="2"/>
        </w:numPr>
        <w:spacing w:after="0" w:line="276" w:lineRule="auto"/>
        <w:jc w:val="both"/>
        <w:rPr>
          <w:rFonts w:ascii="Arial" w:eastAsia="Arial" w:hAnsi="Arial" w:cs="Arial"/>
          <w:sz w:val="24"/>
          <w:szCs w:val="24"/>
        </w:rPr>
      </w:pPr>
      <w:r w:rsidRPr="00B2698B">
        <w:rPr>
          <w:rFonts w:ascii="Arial" w:eastAsia="Arial" w:hAnsi="Arial" w:cs="Arial"/>
          <w:sz w:val="24"/>
          <w:szCs w:val="24"/>
        </w:rPr>
        <w:t xml:space="preserve">Fortalecer las competencias en el uso de herramientas tecnológicas y ofimáticas, impulsando la modernización institucional y la divulgación del conocimiento. </w:t>
      </w:r>
    </w:p>
    <w:p w14:paraId="3E7A7475" w14:textId="77777777" w:rsidR="002E625B" w:rsidRPr="00B2698B" w:rsidRDefault="00A91795">
      <w:pPr>
        <w:numPr>
          <w:ilvl w:val="0"/>
          <w:numId w:val="2"/>
        </w:numPr>
        <w:spacing w:after="0" w:line="276" w:lineRule="auto"/>
        <w:jc w:val="both"/>
        <w:rPr>
          <w:rFonts w:ascii="Arial" w:eastAsia="Arial" w:hAnsi="Arial" w:cs="Arial"/>
          <w:sz w:val="24"/>
          <w:szCs w:val="24"/>
        </w:rPr>
      </w:pPr>
      <w:r w:rsidRPr="00B2698B">
        <w:rPr>
          <w:rFonts w:ascii="Arial" w:eastAsia="Arial" w:hAnsi="Arial" w:cs="Arial"/>
          <w:sz w:val="24"/>
          <w:szCs w:val="24"/>
        </w:rPr>
        <w:t>Reforzar la cultura de la legalidad, la transparencia, la ética pública y la lucha contra la corrupción, consolidando la identidad del servidor público del ICANH y su compromiso con la integridad y el buen manejo de los recursos públicos.</w:t>
      </w:r>
    </w:p>
    <w:p w14:paraId="3E7A7476" w14:textId="77777777" w:rsidR="002E625B" w:rsidRPr="00B2698B" w:rsidRDefault="00A91795">
      <w:pPr>
        <w:numPr>
          <w:ilvl w:val="0"/>
          <w:numId w:val="2"/>
        </w:numPr>
        <w:spacing w:after="0" w:line="276" w:lineRule="auto"/>
        <w:jc w:val="both"/>
        <w:rPr>
          <w:rFonts w:ascii="Arial" w:eastAsia="Arial" w:hAnsi="Arial" w:cs="Arial"/>
          <w:sz w:val="24"/>
          <w:szCs w:val="24"/>
        </w:rPr>
      </w:pPr>
      <w:r w:rsidRPr="00B2698B">
        <w:rPr>
          <w:rFonts w:ascii="Arial" w:eastAsia="Arial" w:hAnsi="Arial" w:cs="Arial"/>
          <w:sz w:val="24"/>
          <w:szCs w:val="24"/>
        </w:rPr>
        <w:t>Impulsar el desarrollo de habilidades blandas y técnicas esenciales (liderazgo, trabajo en equipo, comunicación asertiva, etc.) para optimizar el desempeño individual y colectivo, responder a los desafíos institucionales y mejorar el clima laboral.</w:t>
      </w:r>
    </w:p>
    <w:p w14:paraId="3E7A7477" w14:textId="77777777" w:rsidR="002E625B" w:rsidRPr="00B2698B" w:rsidRDefault="002E625B">
      <w:pPr>
        <w:spacing w:after="0" w:line="276" w:lineRule="auto"/>
        <w:jc w:val="both"/>
        <w:rPr>
          <w:rFonts w:ascii="Arial" w:eastAsia="Arial" w:hAnsi="Arial" w:cs="Arial"/>
          <w:sz w:val="24"/>
          <w:szCs w:val="24"/>
        </w:rPr>
      </w:pPr>
    </w:p>
    <w:p w14:paraId="3E7A7478" w14:textId="77777777" w:rsidR="002E625B" w:rsidRPr="00B2698B" w:rsidRDefault="00A91795">
      <w:pPr>
        <w:pStyle w:val="Ttulo1"/>
        <w:numPr>
          <w:ilvl w:val="0"/>
          <w:numId w:val="1"/>
        </w:numPr>
        <w:rPr>
          <w:sz w:val="24"/>
          <w:szCs w:val="24"/>
        </w:rPr>
      </w:pPr>
      <w:bookmarkStart w:id="41" w:name="_heading=h.5nn92hlzkn8b" w:colFirst="0" w:colLast="0"/>
      <w:bookmarkEnd w:id="41"/>
      <w:r w:rsidRPr="00B2698B">
        <w:rPr>
          <w:sz w:val="24"/>
          <w:szCs w:val="24"/>
        </w:rPr>
        <w:t>Alcance</w:t>
      </w:r>
    </w:p>
    <w:p w14:paraId="3E7A7479" w14:textId="77777777" w:rsidR="002E625B" w:rsidRPr="00B2698B" w:rsidRDefault="00A91795">
      <w:pPr>
        <w:spacing w:before="280" w:after="280" w:line="276" w:lineRule="auto"/>
        <w:ind w:left="360"/>
        <w:jc w:val="both"/>
        <w:rPr>
          <w:rFonts w:ascii="Arial" w:eastAsia="Arial" w:hAnsi="Arial" w:cs="Arial"/>
          <w:sz w:val="24"/>
          <w:szCs w:val="24"/>
        </w:rPr>
      </w:pPr>
      <w:bookmarkStart w:id="42" w:name="_heading=h.r5ze9ffp1iaz" w:colFirst="0" w:colLast="0"/>
      <w:bookmarkEnd w:id="42"/>
      <w:r w:rsidRPr="00B2698B">
        <w:rPr>
          <w:rFonts w:ascii="Arial" w:eastAsia="Arial" w:hAnsi="Arial" w:cs="Arial"/>
          <w:sz w:val="24"/>
          <w:szCs w:val="24"/>
        </w:rPr>
        <w:t>El presente Plan Institucional de Capacitación tiene una cobertura institucional y nacional, aplicando para la vigencia fiscal comprendida entre el 1 de enero y el 31 de diciembre de 2026.</w:t>
      </w:r>
    </w:p>
    <w:p w14:paraId="3E7A747A" w14:textId="77777777" w:rsidR="002E625B" w:rsidRPr="00B2698B" w:rsidRDefault="00A91795">
      <w:pPr>
        <w:spacing w:before="280" w:after="280" w:line="276" w:lineRule="auto"/>
        <w:ind w:left="360"/>
        <w:jc w:val="both"/>
        <w:rPr>
          <w:rFonts w:ascii="Arial" w:eastAsia="Arial" w:hAnsi="Arial" w:cs="Arial"/>
          <w:sz w:val="24"/>
          <w:szCs w:val="24"/>
        </w:rPr>
      </w:pPr>
      <w:r w:rsidRPr="00B2698B">
        <w:rPr>
          <w:rFonts w:ascii="Arial" w:eastAsia="Arial" w:hAnsi="Arial" w:cs="Arial"/>
          <w:sz w:val="24"/>
          <w:szCs w:val="24"/>
        </w:rPr>
        <w:lastRenderedPageBreak/>
        <w:t>Su aplicación se extiende a:</w:t>
      </w:r>
    </w:p>
    <w:p w14:paraId="3E7A747B" w14:textId="77777777" w:rsidR="002E625B" w:rsidRPr="00B2698B" w:rsidRDefault="00A91795">
      <w:pPr>
        <w:pStyle w:val="Ttulo2"/>
        <w:numPr>
          <w:ilvl w:val="1"/>
          <w:numId w:val="1"/>
        </w:numPr>
        <w:rPr>
          <w:sz w:val="24"/>
          <w:szCs w:val="24"/>
        </w:rPr>
      </w:pPr>
      <w:bookmarkStart w:id="43" w:name="_heading=h.iidpthexwj3t" w:colFirst="0" w:colLast="0"/>
      <w:bookmarkEnd w:id="43"/>
      <w:r w:rsidRPr="00B2698B">
        <w:rPr>
          <w:sz w:val="24"/>
          <w:szCs w:val="24"/>
        </w:rPr>
        <w:t>Población Objetivo:</w:t>
      </w:r>
    </w:p>
    <w:p w14:paraId="3E7A747C" w14:textId="77777777" w:rsidR="002E625B" w:rsidRPr="00B2698B" w:rsidRDefault="00A91795">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sidRPr="00B2698B">
        <w:rPr>
          <w:rFonts w:ascii="Arial" w:eastAsia="Arial" w:hAnsi="Arial" w:cs="Arial"/>
          <w:color w:val="000000"/>
          <w:sz w:val="24"/>
          <w:szCs w:val="24"/>
        </w:rPr>
        <w:t>Servidores Públicos: Empleados de Carrera Administrativa, Libre Nombramiento y Remoción y Provisionales vinculados al ICANH.</w:t>
      </w:r>
    </w:p>
    <w:p w14:paraId="3E7A747D" w14:textId="77777777" w:rsidR="002E625B" w:rsidRPr="00B2698B" w:rsidRDefault="00A91795">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sidRPr="00B2698B">
        <w:rPr>
          <w:rFonts w:ascii="Arial" w:eastAsia="Arial" w:hAnsi="Arial" w:cs="Arial"/>
          <w:color w:val="000000"/>
          <w:sz w:val="24"/>
          <w:szCs w:val="24"/>
        </w:rPr>
        <w:t xml:space="preserve">Contratistas y Pasantes: Podrán participar en actividades de </w:t>
      </w:r>
      <w:r w:rsidRPr="00B2698B">
        <w:rPr>
          <w:rFonts w:ascii="Arial" w:eastAsia="Arial" w:hAnsi="Arial" w:cs="Arial"/>
          <w:sz w:val="24"/>
          <w:szCs w:val="24"/>
        </w:rPr>
        <w:t>capacitación que fortalezcan sus habilidades blandas y competencias laborales.</w:t>
      </w:r>
    </w:p>
    <w:p w14:paraId="3E7A747E" w14:textId="77777777" w:rsidR="002E625B" w:rsidRPr="00B2698B" w:rsidRDefault="002E625B">
      <w:pPr>
        <w:pBdr>
          <w:top w:val="nil"/>
          <w:left w:val="nil"/>
          <w:bottom w:val="nil"/>
          <w:right w:val="nil"/>
          <w:between w:val="nil"/>
        </w:pBdr>
        <w:spacing w:after="0" w:line="276" w:lineRule="auto"/>
        <w:jc w:val="both"/>
        <w:rPr>
          <w:rFonts w:ascii="Arial" w:eastAsia="Arial" w:hAnsi="Arial" w:cs="Arial"/>
          <w:color w:val="000000"/>
          <w:sz w:val="24"/>
          <w:szCs w:val="24"/>
        </w:rPr>
      </w:pPr>
    </w:p>
    <w:p w14:paraId="3E7A747F" w14:textId="77777777" w:rsidR="002E625B" w:rsidRPr="00B2698B" w:rsidRDefault="00A91795">
      <w:pPr>
        <w:pStyle w:val="Ttulo1"/>
        <w:numPr>
          <w:ilvl w:val="0"/>
          <w:numId w:val="1"/>
        </w:numPr>
        <w:rPr>
          <w:sz w:val="24"/>
          <w:szCs w:val="24"/>
        </w:rPr>
      </w:pPr>
      <w:bookmarkStart w:id="44" w:name="_heading=h.30mjt2sabg8u" w:colFirst="0" w:colLast="0"/>
      <w:bookmarkEnd w:id="44"/>
      <w:r w:rsidRPr="00B2698B">
        <w:rPr>
          <w:sz w:val="24"/>
          <w:szCs w:val="24"/>
        </w:rPr>
        <w:t>Definiciones</w:t>
      </w:r>
    </w:p>
    <w:p w14:paraId="3E7A7480" w14:textId="77777777" w:rsidR="002E625B" w:rsidRPr="00B2698B" w:rsidRDefault="002E625B">
      <w:pPr>
        <w:pBdr>
          <w:top w:val="nil"/>
          <w:left w:val="nil"/>
          <w:bottom w:val="nil"/>
          <w:right w:val="nil"/>
          <w:between w:val="nil"/>
        </w:pBdr>
        <w:spacing w:after="0" w:line="276" w:lineRule="auto"/>
        <w:jc w:val="both"/>
        <w:rPr>
          <w:rFonts w:ascii="Arial" w:eastAsia="Arial" w:hAnsi="Arial" w:cs="Arial"/>
          <w:b/>
          <w:bCs/>
          <w:sz w:val="24"/>
          <w:szCs w:val="24"/>
        </w:rPr>
      </w:pPr>
      <w:bookmarkStart w:id="45" w:name="_heading=h.tk3y335q1qqm" w:colFirst="0" w:colLast="0"/>
      <w:bookmarkEnd w:id="45"/>
    </w:p>
    <w:p w14:paraId="3E7A7481" w14:textId="77777777" w:rsidR="002E625B" w:rsidRPr="00B2698B" w:rsidRDefault="00A91795">
      <w:pPr>
        <w:pBdr>
          <w:top w:val="nil"/>
          <w:left w:val="nil"/>
          <w:bottom w:val="nil"/>
          <w:right w:val="nil"/>
          <w:between w:val="nil"/>
        </w:pBdr>
        <w:spacing w:after="0" w:line="276" w:lineRule="auto"/>
        <w:jc w:val="both"/>
        <w:rPr>
          <w:rFonts w:ascii="Arial" w:eastAsia="Arial" w:hAnsi="Arial" w:cs="Arial"/>
          <w:sz w:val="24"/>
          <w:szCs w:val="24"/>
        </w:rPr>
      </w:pPr>
      <w:bookmarkStart w:id="46" w:name="_heading=h.748xt9qafz7z" w:colFirst="0" w:colLast="0"/>
      <w:bookmarkEnd w:id="46"/>
      <w:r w:rsidRPr="00B2698B">
        <w:rPr>
          <w:rFonts w:ascii="Arial" w:eastAsia="Arial" w:hAnsi="Arial" w:cs="Arial"/>
          <w:sz w:val="24"/>
          <w:szCs w:val="24"/>
        </w:rPr>
        <w:t>Para la correcta interpretación y apropiación de este plan, se definen los siguientes conceptos clave, alineados con el DAFP y la nueva visión de bienestar 2026:</w:t>
      </w:r>
    </w:p>
    <w:p w14:paraId="3E7A7482"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t>Aprendizaje Organizacional:</w:t>
      </w:r>
      <w:r w:rsidRPr="00B2698B">
        <w:rPr>
          <w:rFonts w:ascii="Arial" w:eastAsia="Arial" w:hAnsi="Arial" w:cs="Arial"/>
          <w:sz w:val="24"/>
          <w:szCs w:val="24"/>
        </w:rPr>
        <w:t xml:space="preserve"> Se entiende como un proceso de aprendizaje individual y colectivo a través de la dinámica diaria, la socialización y </w:t>
      </w:r>
      <w:proofErr w:type="gramStart"/>
      <w:r w:rsidRPr="00B2698B">
        <w:rPr>
          <w:rFonts w:ascii="Arial" w:eastAsia="Arial" w:hAnsi="Arial" w:cs="Arial"/>
          <w:sz w:val="24"/>
          <w:szCs w:val="24"/>
        </w:rPr>
        <w:t>las  experiencias</w:t>
      </w:r>
      <w:proofErr w:type="gramEnd"/>
      <w:r w:rsidRPr="00B2698B">
        <w:rPr>
          <w:rFonts w:ascii="Arial" w:eastAsia="Arial" w:hAnsi="Arial" w:cs="Arial"/>
          <w:sz w:val="24"/>
          <w:szCs w:val="24"/>
        </w:rPr>
        <w:t xml:space="preserve"> compartidas, así como la integración de conocimientos internos y externos a la entidad; convirtiendo el conocimiento tácito en explícito, en la labor cotidiana y viceversa, que al final se convierte en el conocimiento organizacional.</w:t>
      </w:r>
    </w:p>
    <w:p w14:paraId="3E7A7483"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t>Competencia</w:t>
      </w:r>
      <w:r w:rsidRPr="00B2698B">
        <w:rPr>
          <w:rFonts w:ascii="Arial" w:eastAsia="Arial" w:hAnsi="Arial" w:cs="Arial"/>
          <w:sz w:val="24"/>
          <w:szCs w:val="24"/>
        </w:rPr>
        <w:t>: Es la capacidad de una persona para desempeñar, en diferentes contextos y con base en los requerimientos de calidad y resultados esperados en el sector público, las funciones inherentes a un empleo; capacidad determinada por los conocimientos, destrezas, habilidades, valores y actitudes.</w:t>
      </w:r>
    </w:p>
    <w:p w14:paraId="3E7A7484"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t>Capacitación</w:t>
      </w:r>
      <w:r w:rsidRPr="00B2698B">
        <w:rPr>
          <w:rFonts w:ascii="Arial" w:eastAsia="Arial" w:hAnsi="Arial" w:cs="Arial"/>
          <w:sz w:val="24"/>
          <w:szCs w:val="24"/>
        </w:rPr>
        <w:t xml:space="preserve">: Se entiende por capacitación el conjunto de procesos organizados, relativos tanto a la se entiende por capacitación el conjunto de procesos organizados, relativos tanto a la educación no formal como a la informal </w:t>
      </w:r>
      <w:r w:rsidRPr="00B2698B">
        <w:rPr>
          <w:rFonts w:ascii="Arial" w:eastAsia="Arial" w:hAnsi="Arial" w:cs="Arial"/>
          <w:sz w:val="24"/>
          <w:szCs w:val="24"/>
        </w:rPr>
        <w:lastRenderedPageBreak/>
        <w:t>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(Decreto Ley 1567, 1998, Art. 4).</w:t>
      </w:r>
    </w:p>
    <w:p w14:paraId="3E7A7485"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b/>
          <w:bCs/>
          <w:sz w:val="24"/>
          <w:szCs w:val="24"/>
        </w:rPr>
      </w:pPr>
      <w:r w:rsidRPr="00B2698B">
        <w:rPr>
          <w:rFonts w:ascii="Arial" w:eastAsia="Arial" w:hAnsi="Arial" w:cs="Arial"/>
          <w:b/>
          <w:bCs/>
          <w:sz w:val="24"/>
          <w:szCs w:val="24"/>
        </w:rPr>
        <w:t>Educación informal:</w:t>
      </w:r>
      <w:r w:rsidRPr="00B2698B">
        <w:rPr>
          <w:rFonts w:ascii="Arial" w:eastAsia="Arial" w:hAnsi="Arial" w:cs="Arial"/>
          <w:sz w:val="24"/>
          <w:szCs w:val="24"/>
        </w:rPr>
        <w:t xml:space="preserve"> Según el artículo 2.6.6.8 del Decreto 1075 de 2015, tiene como objetivo brindar oportunidades para complementar, actualizar, perfeccionar, renovar o profundizar conocimientos, habilidades, técnicas y prácticas. Hacen parte de esta oferta educativa aquellos cursos que tengan una duración inferior a ciento sesenta (160) horas. Su organización, oferta y desarrollo no requieren de registro por parte de la secretaría de educación de la entidad territorial certificada y sólo darán lugar a la expedición de una constancia de asistencia.</w:t>
      </w:r>
    </w:p>
    <w:p w14:paraId="3E7A7486"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b/>
          <w:bCs/>
          <w:sz w:val="24"/>
          <w:szCs w:val="24"/>
        </w:rPr>
      </w:pPr>
      <w:r w:rsidRPr="00B2698B">
        <w:rPr>
          <w:rFonts w:ascii="Arial" w:eastAsia="Arial" w:hAnsi="Arial" w:cs="Arial"/>
          <w:b/>
          <w:bCs/>
          <w:sz w:val="24"/>
          <w:szCs w:val="24"/>
        </w:rPr>
        <w:t>Educación para el trabajo y Desarrollo Humano:</w:t>
      </w:r>
      <w:r w:rsidRPr="00B2698B">
        <w:rPr>
          <w:rFonts w:ascii="Arial" w:eastAsia="Arial" w:hAnsi="Arial" w:cs="Arial"/>
          <w:sz w:val="24"/>
          <w:szCs w:val="24"/>
        </w:rPr>
        <w:t xml:space="preserve"> antes denominada educación no formal, es la que se ofrece con el objeto de complementar, actualizar, suplir conocimientos y formar en aspectos académicos o laborales sin sujeción al sistema de niveles y grados establecidos para la educación formal. El tiempo de duración de estos programas será mínimo de 60 horas para la formación laboral y de 160 horas para la formación académica. A esta capacitación pueden acceder los empleados con derechos de carrera administrativa y de libre nombramiento y remoción.</w:t>
      </w:r>
    </w:p>
    <w:p w14:paraId="3E7A7487"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lastRenderedPageBreak/>
        <w:t>Formación</w:t>
      </w:r>
      <w:r w:rsidRPr="00B2698B">
        <w:rPr>
          <w:rFonts w:ascii="Arial" w:eastAsia="Arial" w:hAnsi="Arial" w:cs="Arial"/>
          <w:sz w:val="24"/>
          <w:szCs w:val="24"/>
        </w:rPr>
        <w:t>: es entendida en la referida normatividad sobre capacitación como los procesos que tienen por objeto específico desarrollar y fortalecer una ética del servicio público basada en los principios que rigen la función administrativa.</w:t>
      </w:r>
    </w:p>
    <w:p w14:paraId="3E7A7488"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t>Modelo Integrado de Planeación y Gestión (MIPG):</w:t>
      </w:r>
      <w:r w:rsidRPr="00B2698B">
        <w:rPr>
          <w:rFonts w:ascii="Arial" w:eastAsia="Arial" w:hAnsi="Arial" w:cs="Arial"/>
          <w:sz w:val="24"/>
          <w:szCs w:val="24"/>
        </w:rPr>
        <w:t xml:space="preserve"> Es un marco de referencia que permite dirigir, evaluar y controlar la gestión institucional de las entidades públicas en términos de calidad e integridad del servicio (valores), con el fin de que entreguen resultados que atiendan y resuelvan las necesidades y problemas de los ciudadanos.</w:t>
      </w:r>
    </w:p>
    <w:p w14:paraId="3E7A7489"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t>Plan institucional de capacitación (PIC):</w:t>
      </w:r>
      <w:r w:rsidRPr="00B2698B">
        <w:rPr>
          <w:rFonts w:ascii="Arial" w:eastAsia="Arial" w:hAnsi="Arial" w:cs="Arial"/>
          <w:sz w:val="24"/>
          <w:szCs w:val="24"/>
        </w:rPr>
        <w:t xml:space="preserve"> Es el conjunto coherente de acciones de capacitación y formación, que, durante un período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establecidas en una entidad pública (Guía para la formulación del Plan Institucional de Capacitación – PIC” expedida por el Departamento Administrativo de la Función Pública y la ESAP en abril de 2021).</w:t>
      </w:r>
    </w:p>
    <w:p w14:paraId="3E7A748A"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t>Programas de Inducción:</w:t>
      </w:r>
      <w:r w:rsidRPr="00B2698B">
        <w:rPr>
          <w:rFonts w:ascii="Arial" w:eastAsia="Arial" w:hAnsi="Arial" w:cs="Arial"/>
          <w:sz w:val="24"/>
          <w:szCs w:val="24"/>
        </w:rPr>
        <w:t xml:space="preserve"> Están orientados a fortalecer la integración del empleado a la cultura organizacional, crear identidad y sentido de pertenencia por la entidad, desarrollar habilidades gerenciales y de servicio público y a suministrar información para el conocimiento de la función pública y del organismo en el que se presta sus servicios, durante los cuatro (4) meses siguientes a su vinculación. A estos programas tienen acceso los empleados con derechos de carrera administrativa, de libre nombramiento y remoción, provisionales y temporales.</w:t>
      </w:r>
    </w:p>
    <w:p w14:paraId="3E7A748B"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lastRenderedPageBreak/>
        <w:t xml:space="preserve">Programas de Reinducción: </w:t>
      </w:r>
      <w:r w:rsidRPr="00B2698B">
        <w:rPr>
          <w:rFonts w:ascii="Arial" w:eastAsia="Arial" w:hAnsi="Arial" w:cs="Arial"/>
          <w:sz w:val="24"/>
          <w:szCs w:val="24"/>
        </w:rPr>
        <w:t>Están dirigidos a reorientar la integración del empleado a la cultura organizacional en virtud de los cambios producidos en cualquier de los asuntos a los cuales se refieren sus objetivos, y se impartirán por lo menos cada dos (2) años, o en el momento en que se produzcan dichos cambios. A estos programas tienen acceso los empleados con derechos de carrera administrativa, de libre nombramiento y remoción, provisionales y temporales. Dentro de los programas de inducción y reinducción se pueden incluir, entre otros, temas transversales relacionados con el Sistema de Gestión de Calidad, Modelo Integrado de Planeación y Gestión MIPG, participación ciudadana y control social y corresponsabilidad.</w:t>
      </w:r>
    </w:p>
    <w:p w14:paraId="3E7A748C"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t>Profesionalización del servicio Público:</w:t>
      </w:r>
      <w:r w:rsidRPr="00B2698B">
        <w:rPr>
          <w:rFonts w:ascii="Arial" w:eastAsia="Arial" w:hAnsi="Arial" w:cs="Arial"/>
          <w:sz w:val="24"/>
          <w:szCs w:val="24"/>
        </w:rPr>
        <w:t xml:space="preserve"> Los servidores públicos independientemente de su tipo de vinculación con el Estado, podrán acceder a los programas de capacitación y de bienestar que adelante la Entidad, atendiendo a las necesidades y al presupuesto asignado. En todo caso, si el presupuesto es insuficiente se dará prioridad a los empleados con derechos de carrera administrativa (Art. 3 de la Ley 1960 de 2019).</w:t>
      </w:r>
    </w:p>
    <w:p w14:paraId="3E7A748D" w14:textId="77777777" w:rsidR="002E625B" w:rsidRPr="00B2698B" w:rsidRDefault="00A91795">
      <w:pPr>
        <w:numPr>
          <w:ilvl w:val="0"/>
          <w:numId w:val="5"/>
        </w:numPr>
        <w:pBdr>
          <w:top w:val="nil"/>
          <w:left w:val="nil"/>
          <w:bottom w:val="nil"/>
          <w:right w:val="nil"/>
          <w:between w:val="nil"/>
        </w:pBdr>
        <w:spacing w:before="280" w:after="0" w:line="276" w:lineRule="auto"/>
        <w:jc w:val="both"/>
        <w:rPr>
          <w:rFonts w:ascii="Arial" w:eastAsia="Arial" w:hAnsi="Arial" w:cs="Arial"/>
          <w:sz w:val="24"/>
          <w:szCs w:val="24"/>
        </w:rPr>
      </w:pPr>
      <w:r w:rsidRPr="00B2698B">
        <w:rPr>
          <w:rFonts w:ascii="Arial" w:eastAsia="Arial" w:hAnsi="Arial" w:cs="Arial"/>
          <w:b/>
          <w:bCs/>
          <w:sz w:val="24"/>
          <w:szCs w:val="24"/>
        </w:rPr>
        <w:t>Servidor Público:</w:t>
      </w:r>
      <w:r w:rsidRPr="00B2698B">
        <w:rPr>
          <w:rFonts w:ascii="Arial" w:eastAsia="Arial" w:hAnsi="Arial" w:cs="Arial"/>
          <w:sz w:val="24"/>
          <w:szCs w:val="24"/>
        </w:rPr>
        <w:t xml:space="preserve"> 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w:t>
      </w:r>
    </w:p>
    <w:p w14:paraId="3E7A748E" w14:textId="77777777" w:rsidR="002E625B" w:rsidRPr="00B2698B" w:rsidRDefault="002E625B">
      <w:pPr>
        <w:pBdr>
          <w:top w:val="nil"/>
          <w:left w:val="nil"/>
          <w:bottom w:val="nil"/>
          <w:right w:val="nil"/>
          <w:between w:val="nil"/>
        </w:pBdr>
        <w:spacing w:after="0" w:line="276" w:lineRule="auto"/>
        <w:jc w:val="both"/>
        <w:rPr>
          <w:rFonts w:ascii="Arial" w:eastAsia="Arial" w:hAnsi="Arial" w:cs="Arial"/>
          <w:sz w:val="24"/>
          <w:szCs w:val="24"/>
        </w:rPr>
      </w:pPr>
    </w:p>
    <w:p w14:paraId="3E7A748F" w14:textId="77777777" w:rsidR="002E625B" w:rsidRPr="00B2698B" w:rsidRDefault="00A91795">
      <w:pPr>
        <w:pStyle w:val="Ttulo1"/>
        <w:numPr>
          <w:ilvl w:val="0"/>
          <w:numId w:val="1"/>
        </w:numPr>
        <w:rPr>
          <w:sz w:val="24"/>
          <w:szCs w:val="24"/>
        </w:rPr>
      </w:pPr>
      <w:bookmarkStart w:id="47" w:name="_heading=h.wpuokwyvsq2e" w:colFirst="0" w:colLast="0"/>
      <w:bookmarkEnd w:id="47"/>
      <w:r w:rsidRPr="00B2698B">
        <w:rPr>
          <w:sz w:val="24"/>
          <w:szCs w:val="24"/>
        </w:rPr>
        <w:t xml:space="preserve">Generalidades del Plan Institucional de Capacitación </w:t>
      </w:r>
    </w:p>
    <w:p w14:paraId="3E7A7490" w14:textId="77777777" w:rsidR="002E625B" w:rsidRPr="00B2698B" w:rsidRDefault="00A91795">
      <w:pPr>
        <w:spacing w:before="240" w:after="240" w:line="276" w:lineRule="auto"/>
        <w:jc w:val="both"/>
        <w:rPr>
          <w:rFonts w:ascii="Arial" w:eastAsia="Arial" w:hAnsi="Arial" w:cs="Arial"/>
          <w:color w:val="000000"/>
          <w:sz w:val="24"/>
          <w:szCs w:val="24"/>
        </w:rPr>
      </w:pPr>
      <w:r w:rsidRPr="00B2698B">
        <w:rPr>
          <w:rFonts w:ascii="Arial" w:eastAsia="Arial" w:hAnsi="Arial" w:cs="Arial"/>
          <w:sz w:val="24"/>
          <w:szCs w:val="24"/>
        </w:rPr>
        <w:t xml:space="preserve">La implementación efectiva de un Plan Institucional de Capacitación requiere claridad frente a los alcances y sus objetivos. En este capítulo se delimitan las fronteras de actuación del plan, reconociendo la diversidad geográfica del ICANH, que abarca desde </w:t>
      </w:r>
      <w:r w:rsidRPr="00B2698B">
        <w:rPr>
          <w:rFonts w:ascii="Arial" w:eastAsia="Arial" w:hAnsi="Arial" w:cs="Arial"/>
          <w:sz w:val="24"/>
          <w:szCs w:val="24"/>
        </w:rPr>
        <w:lastRenderedPageBreak/>
        <w:t>la Sede Central en Bogotá hasta los Parques Arqueológicos y Sedes Regionales. Aquí se establecen los lineamientos de participación, asegurando que las estrategias sean inclusivas, equitativas y adaptadas a las distintas modalidades de vinculación laboral y realidades territoriales de nuestros servidores.</w:t>
      </w:r>
    </w:p>
    <w:p w14:paraId="3E7A7491"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b/>
          <w:bCs/>
          <w:sz w:val="24"/>
          <w:szCs w:val="24"/>
        </w:rPr>
        <w:t>Articulaciones Internas y Externas</w:t>
      </w:r>
      <w:r w:rsidRPr="00B2698B">
        <w:rPr>
          <w:rFonts w:ascii="Arial" w:eastAsia="Arial" w:hAnsi="Arial" w:cs="Arial"/>
          <w:sz w:val="24"/>
          <w:szCs w:val="24"/>
        </w:rPr>
        <w:t xml:space="preserve"> El plan no opera de manera aislada, sino que se articula transversalmente con:</w:t>
      </w:r>
    </w:p>
    <w:p w14:paraId="3E7A7492" w14:textId="77777777" w:rsidR="002E625B" w:rsidRPr="00B2698B" w:rsidRDefault="00A91795">
      <w:pPr>
        <w:numPr>
          <w:ilvl w:val="0"/>
          <w:numId w:val="4"/>
        </w:numPr>
        <w:pBdr>
          <w:top w:val="nil"/>
          <w:left w:val="nil"/>
          <w:bottom w:val="nil"/>
          <w:right w:val="nil"/>
          <w:between w:val="nil"/>
        </w:pBdr>
        <w:spacing w:before="240" w:after="0" w:line="276" w:lineRule="auto"/>
        <w:jc w:val="both"/>
        <w:rPr>
          <w:rFonts w:ascii="Arial" w:eastAsia="Arial" w:hAnsi="Arial" w:cs="Arial"/>
          <w:color w:val="000000"/>
          <w:sz w:val="24"/>
          <w:szCs w:val="24"/>
        </w:rPr>
      </w:pPr>
      <w:r w:rsidRPr="00B2698B">
        <w:rPr>
          <w:rFonts w:ascii="Arial" w:eastAsia="Arial" w:hAnsi="Arial" w:cs="Arial"/>
          <w:color w:val="000000"/>
          <w:sz w:val="24"/>
          <w:szCs w:val="24"/>
        </w:rPr>
        <w:t>Interna: se arti</w:t>
      </w:r>
      <w:r w:rsidRPr="00B2698B">
        <w:rPr>
          <w:rFonts w:ascii="Arial" w:eastAsia="Arial" w:hAnsi="Arial" w:cs="Arial"/>
          <w:sz w:val="24"/>
          <w:szCs w:val="24"/>
        </w:rPr>
        <w:t xml:space="preserve">cula con el </w:t>
      </w:r>
      <w:r w:rsidRPr="00B2698B">
        <w:rPr>
          <w:rFonts w:ascii="Arial" w:eastAsia="Arial" w:hAnsi="Arial" w:cs="Arial"/>
          <w:color w:val="000000"/>
          <w:sz w:val="24"/>
          <w:szCs w:val="24"/>
        </w:rPr>
        <w:t xml:space="preserve">Sistema de Gestión de Seguridad y Salud en el Trabajo (SG-SST) para actividades de prevención de riesgo psicosocial y ergonomía, </w:t>
      </w:r>
      <w:r w:rsidRPr="00B2698B">
        <w:rPr>
          <w:rFonts w:ascii="Arial" w:eastAsia="Arial" w:hAnsi="Arial" w:cs="Arial"/>
          <w:sz w:val="24"/>
          <w:szCs w:val="24"/>
        </w:rPr>
        <w:t xml:space="preserve">y con </w:t>
      </w:r>
      <w:r w:rsidRPr="00B2698B">
        <w:rPr>
          <w:rFonts w:ascii="Arial" w:eastAsia="Arial" w:hAnsi="Arial" w:cs="Arial"/>
          <w:color w:val="000000"/>
          <w:sz w:val="24"/>
          <w:szCs w:val="24"/>
        </w:rPr>
        <w:t xml:space="preserve">el </w:t>
      </w:r>
      <w:r w:rsidRPr="00B2698B">
        <w:rPr>
          <w:rFonts w:ascii="Arial" w:eastAsia="Arial" w:hAnsi="Arial" w:cs="Arial"/>
          <w:sz w:val="24"/>
          <w:szCs w:val="24"/>
        </w:rPr>
        <w:t>equipo</w:t>
      </w:r>
      <w:r w:rsidRPr="00B2698B">
        <w:rPr>
          <w:rFonts w:ascii="Arial" w:eastAsia="Arial" w:hAnsi="Arial" w:cs="Arial"/>
          <w:color w:val="000000"/>
          <w:sz w:val="24"/>
          <w:szCs w:val="24"/>
        </w:rPr>
        <w:t xml:space="preserve"> de </w:t>
      </w:r>
      <w:r w:rsidRPr="00B2698B">
        <w:rPr>
          <w:rFonts w:ascii="Arial" w:eastAsia="Arial" w:hAnsi="Arial" w:cs="Arial"/>
          <w:sz w:val="24"/>
          <w:szCs w:val="24"/>
        </w:rPr>
        <w:t xml:space="preserve">bienestar </w:t>
      </w:r>
      <w:r w:rsidRPr="00B2698B">
        <w:rPr>
          <w:rFonts w:ascii="Arial" w:eastAsia="Arial" w:hAnsi="Arial" w:cs="Arial"/>
          <w:color w:val="000000"/>
          <w:sz w:val="24"/>
          <w:szCs w:val="24"/>
        </w:rPr>
        <w:t xml:space="preserve">en aras de generar actividades que fortalezcan </w:t>
      </w:r>
      <w:r w:rsidRPr="00B2698B">
        <w:rPr>
          <w:rFonts w:ascii="Arial" w:eastAsia="Arial" w:hAnsi="Arial" w:cs="Arial"/>
          <w:sz w:val="24"/>
          <w:szCs w:val="24"/>
        </w:rPr>
        <w:t>el clima organizacional de</w:t>
      </w:r>
      <w:r w:rsidRPr="00B2698B">
        <w:rPr>
          <w:rFonts w:ascii="Arial" w:eastAsia="Arial" w:hAnsi="Arial" w:cs="Arial"/>
          <w:color w:val="000000"/>
          <w:sz w:val="24"/>
          <w:szCs w:val="24"/>
        </w:rPr>
        <w:t xml:space="preserve"> los servidores.</w:t>
      </w:r>
    </w:p>
    <w:p w14:paraId="3E7A7493" w14:textId="77777777" w:rsidR="002E625B" w:rsidRPr="00B2698B" w:rsidRDefault="00A91795">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B2698B">
        <w:rPr>
          <w:rFonts w:ascii="Arial" w:eastAsia="Arial" w:hAnsi="Arial" w:cs="Arial"/>
          <w:color w:val="000000"/>
          <w:sz w:val="24"/>
          <w:szCs w:val="24"/>
        </w:rPr>
        <w:t>Externa: Se coordina con la Caja de Compensación Familiar, la ARL, el Fondo Nacional del Ahorro y entidades aliadas (como museos o universidades) para ampliar la oferta de beneficios sin afectar el presupuesto de la entidad.</w:t>
      </w:r>
    </w:p>
    <w:p w14:paraId="3E7A7494" w14:textId="77777777" w:rsidR="002E625B" w:rsidRPr="00B2698B" w:rsidRDefault="002E625B">
      <w:pPr>
        <w:pBdr>
          <w:top w:val="nil"/>
          <w:left w:val="nil"/>
          <w:bottom w:val="nil"/>
          <w:right w:val="nil"/>
          <w:between w:val="nil"/>
        </w:pBdr>
        <w:spacing w:after="0" w:line="276" w:lineRule="auto"/>
        <w:jc w:val="both"/>
        <w:rPr>
          <w:rFonts w:ascii="Arial" w:eastAsia="Arial" w:hAnsi="Arial" w:cs="Arial"/>
          <w:sz w:val="24"/>
          <w:szCs w:val="24"/>
        </w:rPr>
      </w:pPr>
    </w:p>
    <w:p w14:paraId="3E7A7495" w14:textId="77777777" w:rsidR="002E625B" w:rsidRPr="00B2698B" w:rsidRDefault="00A91795">
      <w:pPr>
        <w:pStyle w:val="Ttulo1"/>
        <w:numPr>
          <w:ilvl w:val="0"/>
          <w:numId w:val="1"/>
        </w:numPr>
        <w:rPr>
          <w:sz w:val="24"/>
          <w:szCs w:val="24"/>
        </w:rPr>
      </w:pPr>
      <w:bookmarkStart w:id="48" w:name="_heading=h.j3rbouh1grqu" w:colFirst="0" w:colLast="0"/>
      <w:bookmarkEnd w:id="48"/>
      <w:r w:rsidRPr="00B2698B">
        <w:rPr>
          <w:sz w:val="24"/>
          <w:szCs w:val="24"/>
        </w:rPr>
        <w:t xml:space="preserve">Diagnóstico y justificación </w:t>
      </w:r>
    </w:p>
    <w:p w14:paraId="3E7A7496"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 xml:space="preserve">El Instituto Colombiano de Antropología e Historia es una entidad pública del orden nacional perteneciente al sector “cultura”, máxima autoridad en materia de patrimonio arqueológico de la nación; realiza y promueve la investigación y la divulgación de </w:t>
      </w:r>
      <w:proofErr w:type="gramStart"/>
      <w:r w:rsidRPr="00B2698B">
        <w:rPr>
          <w:rFonts w:ascii="Arial" w:eastAsia="Arial" w:hAnsi="Arial" w:cs="Arial"/>
          <w:sz w:val="24"/>
          <w:szCs w:val="24"/>
        </w:rPr>
        <w:t>conocimientos  sobre</w:t>
      </w:r>
      <w:proofErr w:type="gramEnd"/>
      <w:r w:rsidRPr="00B2698B">
        <w:rPr>
          <w:rFonts w:ascii="Arial" w:eastAsia="Arial" w:hAnsi="Arial" w:cs="Arial"/>
          <w:sz w:val="24"/>
          <w:szCs w:val="24"/>
        </w:rPr>
        <w:t xml:space="preserve"> la diversidad étnica y cultural con comunidades y grupos involucrados desde una perspectiva temporal amplia. Es un órgano asesor de la gestión arqueológica y patrimonial en la política pública.</w:t>
      </w:r>
    </w:p>
    <w:p w14:paraId="3E7A7497"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En un primer momento, las necesidades básicas que el Plan Institucional de Capacitaciones - PIC- identifica los objetivos de la Entidad, razón por la cual el PIC está alineado con los retos y proyectos institucionales definidos por el Instituto Colombiano de Antropología e Historia en su planeación estratégica y plan de acción.</w:t>
      </w:r>
    </w:p>
    <w:p w14:paraId="3E7A7498"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lastRenderedPageBreak/>
        <w:t xml:space="preserve">De acuerdo a los resultados obtenidos en PIC 2025, el resultado de avance fue del 90% de cumplimiento, consolidándose como una estrategia clave para fortalecer las competencias técnicas y profesionales del personal. Adicionalmente se realizaron sondeos aleatorios para identificar intereses adicionales de aporte a las actividades cotidianas. </w:t>
      </w:r>
    </w:p>
    <w:p w14:paraId="3E7A7499"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 xml:space="preserve">El PIC 2025 incluyó diversas actividades formativas, tales como talleres presenciales, capacitaciones virtuales y presenciales, diseñadas para responder a las necesidades detectadas en el diagnóstico inicial. Gracias a la participación activa de los funcionarios, trabajadores oficiales y contratistas, fue posible mejorar significativamente los conocimientos, habilidades y actitudes requeridas para el desempeño óptimo de las funciones. </w:t>
      </w:r>
    </w:p>
    <w:p w14:paraId="3E7A749A"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Ahora bien, con el fin de establecer el plan de capacitación de la vigencia 2026, se indagó con las diferentes Áreas del Instituto las capacitaciones necesarias, con el fin de establecer las necesidades específicas, identificar aspectos clave e involucrar a los servidores públicos como sujeto principal del plan de capacitación. Adicionalmente, durante las negociaciones con el Sindicato, se llega a acuerdos para incluir temáticas y estrategias en el PIC de la vigencia 2026.</w:t>
      </w:r>
    </w:p>
    <w:p w14:paraId="3E7A749B"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 xml:space="preserve">Teniendo en cuenta la recopilación de información que se realizó a través de </w:t>
      </w:r>
      <w:proofErr w:type="gramStart"/>
      <w:r w:rsidRPr="00B2698B">
        <w:rPr>
          <w:rFonts w:ascii="Arial" w:eastAsia="Arial" w:hAnsi="Arial" w:cs="Arial"/>
          <w:sz w:val="24"/>
          <w:szCs w:val="24"/>
        </w:rPr>
        <w:t>un voz</w:t>
      </w:r>
      <w:proofErr w:type="gramEnd"/>
      <w:r w:rsidRPr="00B2698B">
        <w:rPr>
          <w:rFonts w:ascii="Arial" w:eastAsia="Arial" w:hAnsi="Arial" w:cs="Arial"/>
          <w:sz w:val="24"/>
          <w:szCs w:val="24"/>
        </w:rPr>
        <w:t xml:space="preserve"> a voz adelantado por la profesional del Área de Talento Humano junto con cada área del instituto y con el sindicato de trabajadores, para obtener el diagnóstico de necesidades de capacitación se puede concluir que:  </w:t>
      </w:r>
    </w:p>
    <w:p w14:paraId="3E7A749C" w14:textId="77777777" w:rsidR="002E625B" w:rsidRPr="00B2698B" w:rsidRDefault="00A91795">
      <w:pPr>
        <w:numPr>
          <w:ilvl w:val="0"/>
          <w:numId w:val="3"/>
        </w:numPr>
        <w:spacing w:before="240" w:after="0" w:line="276" w:lineRule="auto"/>
        <w:jc w:val="both"/>
        <w:rPr>
          <w:rFonts w:ascii="Arial" w:eastAsia="Arial" w:hAnsi="Arial" w:cs="Arial"/>
          <w:sz w:val="24"/>
          <w:szCs w:val="24"/>
        </w:rPr>
      </w:pPr>
      <w:r w:rsidRPr="00B2698B">
        <w:rPr>
          <w:rFonts w:ascii="Arial" w:eastAsia="Arial" w:hAnsi="Arial" w:cs="Arial"/>
          <w:sz w:val="24"/>
          <w:szCs w:val="24"/>
        </w:rPr>
        <w:t xml:space="preserve">Las temáticas de capacitación solicitadas por las dependencias en su mayoría se enmarcan en el eje temático del Plan Nacional de Formación y Capacitación, es decir, que están enfocadas al mejoramiento continuo de la gestión pública.  </w:t>
      </w:r>
    </w:p>
    <w:p w14:paraId="3E7A749D" w14:textId="77777777" w:rsidR="002E625B" w:rsidRPr="00B2698B" w:rsidRDefault="00A91795">
      <w:pPr>
        <w:numPr>
          <w:ilvl w:val="0"/>
          <w:numId w:val="3"/>
        </w:numPr>
        <w:spacing w:after="0" w:line="276" w:lineRule="auto"/>
        <w:jc w:val="both"/>
        <w:rPr>
          <w:rFonts w:ascii="Arial" w:eastAsia="Arial" w:hAnsi="Arial" w:cs="Arial"/>
          <w:sz w:val="24"/>
          <w:szCs w:val="24"/>
        </w:rPr>
      </w:pPr>
      <w:r w:rsidRPr="00B2698B">
        <w:rPr>
          <w:rFonts w:ascii="Arial" w:eastAsia="Arial" w:hAnsi="Arial" w:cs="Arial"/>
          <w:sz w:val="24"/>
          <w:szCs w:val="24"/>
        </w:rPr>
        <w:t>Se evidencia la necesidad de capacitaciones que fomenten el trabajo en equipo, la prevención de acoso laboral y de violencias basadas en género y la salud mental.</w:t>
      </w:r>
    </w:p>
    <w:p w14:paraId="3E7A749E" w14:textId="77777777" w:rsidR="002E625B" w:rsidRPr="00B2698B" w:rsidRDefault="00A91795">
      <w:pPr>
        <w:numPr>
          <w:ilvl w:val="0"/>
          <w:numId w:val="3"/>
        </w:numPr>
        <w:spacing w:after="240" w:line="276" w:lineRule="auto"/>
        <w:jc w:val="both"/>
        <w:rPr>
          <w:rFonts w:ascii="Arial" w:eastAsia="Arial" w:hAnsi="Arial" w:cs="Arial"/>
          <w:sz w:val="24"/>
          <w:szCs w:val="24"/>
        </w:rPr>
      </w:pPr>
      <w:r w:rsidRPr="00B2698B">
        <w:rPr>
          <w:rFonts w:ascii="Arial" w:eastAsia="Arial" w:hAnsi="Arial" w:cs="Arial"/>
          <w:sz w:val="24"/>
          <w:szCs w:val="24"/>
        </w:rPr>
        <w:lastRenderedPageBreak/>
        <w:t xml:space="preserve">Se evidencia que existen algunas temáticas especializadas que requieren apoyo externo dado su carácter técnico y específico. </w:t>
      </w:r>
    </w:p>
    <w:p w14:paraId="3E7A749F" w14:textId="77777777" w:rsidR="002E625B" w:rsidRPr="00B2698B" w:rsidRDefault="00A91795">
      <w:pPr>
        <w:pStyle w:val="Ttulo1"/>
        <w:numPr>
          <w:ilvl w:val="0"/>
          <w:numId w:val="1"/>
        </w:numPr>
        <w:rPr>
          <w:color w:val="000000"/>
          <w:sz w:val="24"/>
          <w:szCs w:val="24"/>
        </w:rPr>
      </w:pPr>
      <w:bookmarkStart w:id="49" w:name="_heading=h.izcstbuq1w5c" w:colFirst="0" w:colLast="0"/>
      <w:bookmarkEnd w:id="49"/>
      <w:r w:rsidRPr="00B2698B">
        <w:rPr>
          <w:color w:val="000000"/>
          <w:sz w:val="24"/>
          <w:szCs w:val="24"/>
        </w:rPr>
        <w:t>Marco conceptual</w:t>
      </w:r>
    </w:p>
    <w:p w14:paraId="3E7A74A0"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 xml:space="preserve">El Instituto Colombiano de Antropología e Historia (ICANH) reconoce que la protección y divulgación del patrimonio de la nación sólo es posible gracias al compromiso y cualificación de su talento humano. El presente Plan Institucional de Capacitaciones 2026, se enmarca en el Plan Nacional de Formación y Capacitación 2023-2030, que es una estrategia integral diseñada para fortalecer las capacidades de las personas y organizaciones en diversos sectores, con el objetivo de impulsar el desarrollo sostenible y la equidad en el país. </w:t>
      </w:r>
    </w:p>
    <w:p w14:paraId="3E7A74A1"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Este plan se articula en varios ejes estratégicos que abordan necesidades claves como la inclusión social, la mejora continua de competencias técnicas y profesionales, la innovación tecnológica, y la promoción de valores como la ética y el compromiso ciudadano. Cada eje busca responder a los desafíos actuales, fomentando el aprendizaje permanente y adaptándose a las demandas cambiantes del mercado laboral y las comunidades a lo largo de su periodo de implementación.</w:t>
      </w:r>
    </w:p>
    <w:p w14:paraId="3E7A74A2" w14:textId="77777777" w:rsidR="002E625B" w:rsidRPr="00B2698B" w:rsidRDefault="00A91795">
      <w:pPr>
        <w:spacing w:before="240" w:after="240" w:line="276" w:lineRule="auto"/>
        <w:jc w:val="both"/>
        <w:rPr>
          <w:rFonts w:ascii="Arial" w:eastAsia="Arial" w:hAnsi="Arial" w:cs="Arial"/>
          <w:b/>
          <w:bCs/>
          <w:sz w:val="24"/>
          <w:szCs w:val="24"/>
        </w:rPr>
      </w:pPr>
      <w:r w:rsidRPr="00B2698B">
        <w:rPr>
          <w:rFonts w:ascii="Arial" w:eastAsia="Arial" w:hAnsi="Arial" w:cs="Arial"/>
          <w:b/>
          <w:bCs/>
          <w:sz w:val="24"/>
          <w:szCs w:val="24"/>
        </w:rPr>
        <w:t>Ejes Temáticos</w:t>
      </w:r>
    </w:p>
    <w:p w14:paraId="3E7A74A3" w14:textId="77777777" w:rsidR="002E625B" w:rsidRPr="00B2698B" w:rsidRDefault="00A91795">
      <w:pPr>
        <w:pStyle w:val="Ttulo2"/>
        <w:numPr>
          <w:ilvl w:val="1"/>
          <w:numId w:val="1"/>
        </w:numPr>
        <w:rPr>
          <w:sz w:val="24"/>
          <w:szCs w:val="24"/>
        </w:rPr>
      </w:pPr>
      <w:bookmarkStart w:id="50" w:name="_heading=h.95rdlq5sj154" w:colFirst="0" w:colLast="0"/>
      <w:bookmarkEnd w:id="50"/>
      <w:r w:rsidRPr="00B2698B">
        <w:rPr>
          <w:sz w:val="24"/>
          <w:szCs w:val="24"/>
        </w:rPr>
        <w:t xml:space="preserve">Paz Total, Memoria y Derechos Humanos (PT): </w:t>
      </w:r>
    </w:p>
    <w:p w14:paraId="3E7A74A4"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 xml:space="preserve">Este eje se orienta hacia la transformación institucional y cultural de servidores públicos, a partir de un direccionamiento político capaz de redimensionar su universo simbólico y propiciar escenarios de construcción de paz y la garantía de los derechos. </w:t>
      </w:r>
    </w:p>
    <w:p w14:paraId="3E7A74A5"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 xml:space="preserve">Lo anterior, responde al papel fundamental que tienen las administraciones públicas en la construcción de la paz en una sociedad, ya que son las encargadas de gestionar y </w:t>
      </w:r>
      <w:r w:rsidRPr="00B2698B">
        <w:rPr>
          <w:rFonts w:ascii="Arial" w:eastAsia="Arial" w:hAnsi="Arial" w:cs="Arial"/>
          <w:sz w:val="24"/>
          <w:szCs w:val="24"/>
        </w:rPr>
        <w:lastRenderedPageBreak/>
        <w:t>coordinar políticas públicas y servicios que impactan directamente en la convivencia y el bienestar de la población.</w:t>
      </w:r>
    </w:p>
    <w:p w14:paraId="3E7A74A6"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Es fundamental capacitar a servidoras y servidores públicos en trámites de paz para el posconflicto, que se refieren a los procesos que se llevan a cabo después de un conflicto armado o una situación de violencia para construir una paz sostenible y duradera. Estos procesos pueden incluir medidas para garantizar la verdad, la justicia, la reparación y la no repetición de los hechos violentos, así como para abordar las causas del conflicto y promover la reconciliación y la inclusión social.</w:t>
      </w:r>
    </w:p>
    <w:p w14:paraId="3E7A74A7" w14:textId="77777777" w:rsidR="002E625B" w:rsidRPr="00B2698B" w:rsidRDefault="00A91795">
      <w:pPr>
        <w:pStyle w:val="Ttulo2"/>
        <w:numPr>
          <w:ilvl w:val="1"/>
          <w:numId w:val="1"/>
        </w:numPr>
        <w:rPr>
          <w:sz w:val="24"/>
          <w:szCs w:val="24"/>
        </w:rPr>
      </w:pPr>
      <w:bookmarkStart w:id="51" w:name="_heading=h.eu7wyx6ewwvn" w:colFirst="0" w:colLast="0"/>
      <w:bookmarkEnd w:id="51"/>
      <w:r w:rsidRPr="00B2698B">
        <w:rPr>
          <w:sz w:val="24"/>
          <w:szCs w:val="24"/>
        </w:rPr>
        <w:t>Mujeres, Inclusión y Diversidad (MID)</w:t>
      </w:r>
    </w:p>
    <w:p w14:paraId="3E7A74A8"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 xml:space="preserve">Para crear e impulsar administraciones públicas responsables socialmente, diversas e inclusivas es necesario transversalizar el enfoque de género, interseccional y diferencial en la política del empleo público, tanto para promover la igualdad de oportunidades con una perspectiva de derechos humanos que superen las barreras que los estereotipos y sesgos de género han construido sobre el quehacer y el deber ser de cada género, como para ampliar la representatividad del Estado y promover una gestión exitosa y productiva de las entidades. </w:t>
      </w:r>
    </w:p>
    <w:p w14:paraId="3E7A74A9" w14:textId="77777777" w:rsidR="002E625B" w:rsidRPr="00B2698B" w:rsidRDefault="00A91795">
      <w:pPr>
        <w:pStyle w:val="Ttulo2"/>
        <w:numPr>
          <w:ilvl w:val="1"/>
          <w:numId w:val="1"/>
        </w:numPr>
        <w:rPr>
          <w:sz w:val="24"/>
          <w:szCs w:val="24"/>
        </w:rPr>
      </w:pPr>
      <w:bookmarkStart w:id="52" w:name="_heading=h.n7bzkgbwvvud" w:colFirst="0" w:colLast="0"/>
      <w:bookmarkEnd w:id="52"/>
      <w:r w:rsidRPr="00B2698B">
        <w:rPr>
          <w:sz w:val="24"/>
          <w:szCs w:val="24"/>
        </w:rPr>
        <w:t>Transformación Digital y Cibercultura (TDC)</w:t>
      </w:r>
    </w:p>
    <w:p w14:paraId="3E7A74AA"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 En esta era de cambios provocados por la influencia de las tecnologías de la información y las comunicaciones (TIC) surgen nuevos conceptos inspirados en el uso de las TIC como herramientas transformadoras de los procesos tradicionales, de esta manera, desde el Gobierno</w:t>
      </w:r>
    </w:p>
    <w:p w14:paraId="3E7A74AB"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lastRenderedPageBreak/>
        <w:t>nacional se generan lineamientos alrededor de la transformación digital de la sociedad y del Estado.</w:t>
      </w:r>
    </w:p>
    <w:p w14:paraId="3E7A74AC"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Las tecnologías de la información y las comunicaciones (las nuevas tecnologías disruptivas y los sistemas interconectados que almacenan, gestionan y analizan información, entre otros) han impactado, prácticamente, todos los sectores de la vida cotidiana de las empresas privadas y empiezan a adoptarse en el sector público, pues ofrecen una solución para generar bienes y servicios públicos con mayor calidad y menores costos e incluso permiten ampliar el alcance de los servicios mediante las TIC, lo cual reduce costos transaccionales para la ciudadanía en el momento de acceder a dichos servicios públicos.</w:t>
      </w:r>
    </w:p>
    <w:p w14:paraId="3E7A74AD" w14:textId="77777777" w:rsidR="002E625B" w:rsidRPr="00B2698B" w:rsidRDefault="00A91795">
      <w:pPr>
        <w:pStyle w:val="Ttulo2"/>
        <w:numPr>
          <w:ilvl w:val="1"/>
          <w:numId w:val="1"/>
        </w:numPr>
        <w:rPr>
          <w:sz w:val="24"/>
          <w:szCs w:val="24"/>
        </w:rPr>
      </w:pPr>
      <w:bookmarkStart w:id="53" w:name="_heading=h.hzjyqw993ppn" w:colFirst="0" w:colLast="0"/>
      <w:bookmarkEnd w:id="53"/>
      <w:r w:rsidRPr="00B2698B">
        <w:rPr>
          <w:sz w:val="24"/>
          <w:szCs w:val="24"/>
        </w:rPr>
        <w:t>Probidad, Ética e Identidad de lo Público (PEIP)</w:t>
      </w:r>
    </w:p>
    <w:p w14:paraId="3E7A74AE"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La identidad del servidor público como la identidad nacional son elementos fundamentales para la supervivencia de las entidades públicas y de cierta medida de la administración pública, por ende, del Estado plantea que para el autorreconocimiento como sector público, como sociedad y, por supuesto, para la definición de los intereses nacionales y la determinación del rumbo del país, el interés nacional es el resultado de ideas compartidas, identidad nacional y prácticas normativas.</w:t>
      </w:r>
    </w:p>
    <w:p w14:paraId="3E7A74AF"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 xml:space="preserve">Todas las acciones que realizan los servidores públicos deben llevarse a cabo en el marco de un comportamiento ético y transparente con fundamento en la vocación de servicio y los valores más preciados de la ciudadanía: honestidad, respeto, compromiso, diligencia y justicia, principios que describe el Código de Integridad del Servidor Público. Con el fin de reafirmar el compromiso y de fomentar la toma de conciencia y la cultura de transparencia en todos los niveles jerárquicos de la entidad, es necesario que se formulen acciones permanentes de formación y capacitación que proporcionen a las y los servidores públicos la motivación, conocimientos y habilidades necesarias para la importancia del uso responsable de los bienes públicos y de una actuación permanente en el marco de la legalidad y la integridad. </w:t>
      </w:r>
    </w:p>
    <w:p w14:paraId="3E7A74B0" w14:textId="77777777" w:rsidR="002E625B" w:rsidRPr="00B2698B" w:rsidRDefault="00A91795">
      <w:pPr>
        <w:pStyle w:val="Ttulo2"/>
        <w:numPr>
          <w:ilvl w:val="1"/>
          <w:numId w:val="1"/>
        </w:numPr>
        <w:rPr>
          <w:sz w:val="24"/>
          <w:szCs w:val="24"/>
        </w:rPr>
      </w:pPr>
      <w:bookmarkStart w:id="54" w:name="_heading=h.j7egyontafrg" w:colFirst="0" w:colLast="0"/>
      <w:bookmarkEnd w:id="54"/>
      <w:r w:rsidRPr="00B2698B">
        <w:rPr>
          <w:sz w:val="24"/>
          <w:szCs w:val="24"/>
        </w:rPr>
        <w:lastRenderedPageBreak/>
        <w:t>Habilidades y Competencias (HC)</w:t>
      </w:r>
    </w:p>
    <w:p w14:paraId="3E7A74B1"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 xml:space="preserve">La administración pública es la encargada de la planeación, gestión, ejecución y evaluación de los procesos a cargo del Estado. Por mandato constitucional, la función pública colombiana debe estar orientada a resultados y, para ello, es necesario el diseño de la cadena de valor (insumos, mapa de procesos, productos efectos e impactos) que, de manera organizada, contribuyan al cumplimiento de los fines esenciales del Estado. </w:t>
      </w:r>
    </w:p>
    <w:p w14:paraId="3E7A74B2" w14:textId="77777777" w:rsidR="002E625B" w:rsidRPr="00B2698B" w:rsidRDefault="00A91795">
      <w:pPr>
        <w:spacing w:before="240" w:after="240" w:line="276" w:lineRule="auto"/>
        <w:jc w:val="both"/>
        <w:rPr>
          <w:rFonts w:ascii="Arial" w:eastAsia="Arial" w:hAnsi="Arial" w:cs="Arial"/>
          <w:sz w:val="24"/>
          <w:szCs w:val="24"/>
        </w:rPr>
      </w:pPr>
      <w:r w:rsidRPr="00B2698B">
        <w:rPr>
          <w:rFonts w:ascii="Arial" w:eastAsia="Arial" w:hAnsi="Arial" w:cs="Arial"/>
          <w:sz w:val="24"/>
          <w:szCs w:val="24"/>
        </w:rPr>
        <w:t>En ese sentido, la administración pública también es la responsable, entre otros aspectos, de la gestión del talento humano con el que cuenta para la consecución de sus metas y el desarrollo de las obligaciones a su cargo. Las condiciones de calidad y oportunidad del quehacer público dependen, en gran medida, de la planeación, desarrollo y fortalecimiento de los aspectos asociados al ciclo de vida de los servidores públicos (ingreso, desarrollo y retiro), por lo tanto, desde este punto de vista, la gestión del talento humano debe ser innovadora y creativa, de tal manera que llegue a ser aliada estratégica en el cumplimiento de la misionalidad de las entidades.</w:t>
      </w:r>
    </w:p>
    <w:p w14:paraId="3E7A74B3" w14:textId="77777777" w:rsidR="002E625B" w:rsidRPr="00B2698B" w:rsidRDefault="00A91795">
      <w:pPr>
        <w:pStyle w:val="Ttulo1"/>
        <w:numPr>
          <w:ilvl w:val="0"/>
          <w:numId w:val="1"/>
        </w:numPr>
        <w:rPr>
          <w:sz w:val="24"/>
          <w:szCs w:val="24"/>
        </w:rPr>
      </w:pPr>
      <w:bookmarkStart w:id="55" w:name="_heading=h.n6rwmhpe7dbc" w:colFirst="0" w:colLast="0"/>
      <w:bookmarkEnd w:id="55"/>
      <w:r w:rsidRPr="00B2698B">
        <w:rPr>
          <w:sz w:val="24"/>
          <w:szCs w:val="24"/>
        </w:rPr>
        <w:t>Resultados de la vigencia anterior (PIC del 2025)</w:t>
      </w:r>
    </w:p>
    <w:p w14:paraId="3E7A74B4"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 xml:space="preserve">Durante la vigencia 2025, el Plan Institucional de Capacitación del ICANH presentó un nivel de cumplimiento del </w:t>
      </w:r>
      <w:r w:rsidRPr="00B2698B">
        <w:rPr>
          <w:rFonts w:ascii="Arial" w:eastAsia="Arial" w:hAnsi="Arial" w:cs="Arial"/>
          <w:b/>
          <w:bCs/>
          <w:color w:val="000000"/>
          <w:sz w:val="24"/>
          <w:szCs w:val="24"/>
        </w:rPr>
        <w:t>90 %</w:t>
      </w:r>
      <w:r w:rsidRPr="00B2698B">
        <w:rPr>
          <w:rFonts w:ascii="Arial" w:eastAsia="Arial" w:hAnsi="Arial" w:cs="Arial"/>
          <w:color w:val="000000"/>
          <w:sz w:val="24"/>
          <w:szCs w:val="24"/>
        </w:rPr>
        <w:t>, consolidándose como una herramienta estratégica para el fortalecimiento de las competencias técnicas, transversales y comportamentales del talento humano.</w:t>
      </w:r>
    </w:p>
    <w:p w14:paraId="3E7A74B5"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Las actividades desarrolladas incluyeron capacitaciones presenciales y virtuales, talleres prácticos y espacios de sensibilización, orientados a responder a las necesidades identificadas en el diagnóstico institucional que entre otras se construyó sobre el formula</w:t>
      </w:r>
      <w:r w:rsidRPr="00B2698B">
        <w:rPr>
          <w:rFonts w:ascii="Arial" w:eastAsia="Arial" w:hAnsi="Arial" w:cs="Arial"/>
          <w:sz w:val="24"/>
          <w:szCs w:val="24"/>
        </w:rPr>
        <w:t>rio para la medición del nivel de satisfacción sobre las capacitaciones y actividades de bienestar e incentivos que se recopilaron sobre la oferta del 2025</w:t>
      </w:r>
      <w:r w:rsidRPr="00B2698B">
        <w:rPr>
          <w:rFonts w:ascii="Arial" w:eastAsia="Arial" w:hAnsi="Arial" w:cs="Arial"/>
          <w:color w:val="000000"/>
          <w:sz w:val="24"/>
          <w:szCs w:val="24"/>
        </w:rPr>
        <w:t>, los resultados de la evaluación de desempeño de la vigencia, las auditorías internas y los lineamientos normativos vigentes.</w:t>
      </w:r>
    </w:p>
    <w:p w14:paraId="3E7A74B6"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lastRenderedPageBreak/>
        <w:t>De acuerdo con el Informe de Ejecución del PIC 2025, se evidenciaron los siguientes logros:</w:t>
      </w:r>
    </w:p>
    <w:p w14:paraId="3E7A74B7" w14:textId="77777777" w:rsidR="002E625B" w:rsidRPr="00B2698B" w:rsidRDefault="00A91795">
      <w:pPr>
        <w:numPr>
          <w:ilvl w:val="0"/>
          <w:numId w:val="6"/>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Alta participación de servidores públicos y contratistas en las actividades programadas.</w:t>
      </w:r>
    </w:p>
    <w:p w14:paraId="3E7A74B8" w14:textId="77777777" w:rsidR="002E625B" w:rsidRPr="00B2698B" w:rsidRDefault="00A91795">
      <w:pPr>
        <w:numPr>
          <w:ilvl w:val="0"/>
          <w:numId w:val="6"/>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Fortalecimiento de competencias asociadas especialmente a la gestión pública, el uso de herramientas tecnológicas y la ética del servicio público.</w:t>
      </w:r>
    </w:p>
    <w:p w14:paraId="3E7A74B9" w14:textId="77777777" w:rsidR="002E625B" w:rsidRPr="00B2698B" w:rsidRDefault="00A91795">
      <w:pPr>
        <w:numPr>
          <w:ilvl w:val="0"/>
          <w:numId w:val="6"/>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Valoración positiva de las actividades, reflejada en los instrumentos de percepción aplicados. 4/5</w:t>
      </w:r>
    </w:p>
    <w:p w14:paraId="3E7A74BA" w14:textId="77777777" w:rsidR="002E625B" w:rsidRPr="00B2698B" w:rsidRDefault="00A91795">
      <w:pPr>
        <w:numPr>
          <w:ilvl w:val="0"/>
          <w:numId w:val="6"/>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Identificación de nuevas necesidades de capacitación, especialmente en temas de salud mental, trabajo en equipo, prevención de violencias y formación especializada.</w:t>
      </w:r>
    </w:p>
    <w:p w14:paraId="3E7A74BB"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Estos resultados permitieron reconocer buenas prácticas, así como oportunidades de mejora que sirven de insumo para la formulación del Plan Institucional de Capacitación 2026.</w:t>
      </w:r>
    </w:p>
    <w:p w14:paraId="3E7A74BC" w14:textId="77777777" w:rsidR="002E625B" w:rsidRPr="00B2698B" w:rsidRDefault="00A91795">
      <w:pPr>
        <w:pStyle w:val="Ttulo1"/>
        <w:numPr>
          <w:ilvl w:val="0"/>
          <w:numId w:val="1"/>
        </w:numPr>
        <w:rPr>
          <w:sz w:val="24"/>
          <w:szCs w:val="24"/>
        </w:rPr>
      </w:pPr>
      <w:bookmarkStart w:id="56" w:name="_heading=h.vosg9hrsaaor" w:colFirst="0" w:colLast="0"/>
      <w:bookmarkEnd w:id="56"/>
      <w:r w:rsidRPr="00B2698B">
        <w:rPr>
          <w:sz w:val="24"/>
          <w:szCs w:val="24"/>
        </w:rPr>
        <w:t>Resultados del indicador asociado al Plan Institucional – vigencia 2025</w:t>
      </w:r>
    </w:p>
    <w:p w14:paraId="3E7A74BD"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 xml:space="preserve">El indicador de cumplimiento del Plan Institucional de Capacitación para la vigencia 2025 se midió a través del porcentaje de actividades ejecutadas frente a las programadas, obteniendo un resultado del </w:t>
      </w:r>
      <w:r w:rsidRPr="00B2698B">
        <w:rPr>
          <w:rFonts w:ascii="Arial" w:eastAsia="Arial" w:hAnsi="Arial" w:cs="Arial"/>
          <w:b/>
          <w:bCs/>
          <w:color w:val="000000"/>
          <w:sz w:val="24"/>
          <w:szCs w:val="24"/>
        </w:rPr>
        <w:t>90 %</w:t>
      </w:r>
      <w:r w:rsidRPr="00B2698B">
        <w:rPr>
          <w:rFonts w:ascii="Arial" w:eastAsia="Arial" w:hAnsi="Arial" w:cs="Arial"/>
          <w:color w:val="000000"/>
          <w:sz w:val="24"/>
          <w:szCs w:val="24"/>
        </w:rPr>
        <w:t>, lo cual evidencia una gestión eficiente del plan.</w:t>
      </w:r>
    </w:p>
    <w:p w14:paraId="3E7A74BE"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Este resultado refleja:</w:t>
      </w:r>
    </w:p>
    <w:p w14:paraId="3E7A74BF" w14:textId="77777777" w:rsidR="002E625B" w:rsidRPr="00B2698B" w:rsidRDefault="00A91795">
      <w:pPr>
        <w:numPr>
          <w:ilvl w:val="0"/>
          <w:numId w:val="7"/>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Adecuada planeación de las actividades formativas.</w:t>
      </w:r>
    </w:p>
    <w:p w14:paraId="3E7A74C0" w14:textId="77777777" w:rsidR="002E625B" w:rsidRPr="00B2698B" w:rsidRDefault="00A91795">
      <w:pPr>
        <w:numPr>
          <w:ilvl w:val="0"/>
          <w:numId w:val="7"/>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Capacidad de articulación interáreas.</w:t>
      </w:r>
    </w:p>
    <w:p w14:paraId="3E7A74C1" w14:textId="77777777" w:rsidR="002E625B" w:rsidRPr="00B2698B" w:rsidRDefault="00A91795">
      <w:pPr>
        <w:numPr>
          <w:ilvl w:val="0"/>
          <w:numId w:val="7"/>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Compromiso institucional con el desarrollo del talento humano.</w:t>
      </w:r>
    </w:p>
    <w:p w14:paraId="3E7A74C2"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No obstante, el análisis del indicador permitió identificar la necesidad de fortalecer:</w:t>
      </w:r>
    </w:p>
    <w:p w14:paraId="3E7A74C3" w14:textId="77777777" w:rsidR="002E625B" w:rsidRPr="00B2698B" w:rsidRDefault="00A91795">
      <w:pPr>
        <w:numPr>
          <w:ilvl w:val="0"/>
          <w:numId w:val="8"/>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La sistematización de la información.</w:t>
      </w:r>
    </w:p>
    <w:p w14:paraId="3E7A74C4" w14:textId="77777777" w:rsidR="002E625B" w:rsidRPr="00B2698B" w:rsidRDefault="00A91795">
      <w:pPr>
        <w:numPr>
          <w:ilvl w:val="0"/>
          <w:numId w:val="8"/>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lastRenderedPageBreak/>
        <w:t>La medición del impacto de las capacitaciones en el desempeño laboral.</w:t>
      </w:r>
    </w:p>
    <w:p w14:paraId="3E7A74C5" w14:textId="77777777" w:rsidR="002E625B" w:rsidRPr="00B2698B" w:rsidRDefault="00A91795">
      <w:pPr>
        <w:numPr>
          <w:ilvl w:val="0"/>
          <w:numId w:val="8"/>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La diversificación de estrategias pedagógicas.</w:t>
      </w:r>
    </w:p>
    <w:p w14:paraId="3E7A74C6"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Estos elementos se incorporan como criterios de mejora para la vigencia 2026.</w:t>
      </w:r>
    </w:p>
    <w:p w14:paraId="3E7A74C7" w14:textId="77777777" w:rsidR="002E625B" w:rsidRPr="00B2698B" w:rsidRDefault="002E625B">
      <w:pPr>
        <w:pBdr>
          <w:top w:val="nil"/>
          <w:left w:val="nil"/>
          <w:bottom w:val="nil"/>
          <w:right w:val="nil"/>
          <w:between w:val="nil"/>
        </w:pBdr>
        <w:spacing w:line="240" w:lineRule="auto"/>
        <w:jc w:val="both"/>
        <w:rPr>
          <w:rFonts w:ascii="Arial" w:eastAsia="Arial" w:hAnsi="Arial" w:cs="Arial"/>
          <w:color w:val="000000"/>
          <w:sz w:val="24"/>
          <w:szCs w:val="24"/>
        </w:rPr>
      </w:pPr>
    </w:p>
    <w:p w14:paraId="3E7A74C8" w14:textId="77777777" w:rsidR="002E625B" w:rsidRPr="00B2698B" w:rsidRDefault="00A91795">
      <w:pPr>
        <w:pStyle w:val="Ttulo1"/>
        <w:numPr>
          <w:ilvl w:val="0"/>
          <w:numId w:val="1"/>
        </w:numPr>
        <w:rPr>
          <w:sz w:val="24"/>
          <w:szCs w:val="24"/>
        </w:rPr>
      </w:pPr>
      <w:bookmarkStart w:id="57" w:name="_heading=h.ktkoe5xhv6qj" w:colFirst="0" w:colLast="0"/>
      <w:bookmarkEnd w:id="57"/>
      <w:r w:rsidRPr="00B2698B">
        <w:rPr>
          <w:sz w:val="24"/>
          <w:szCs w:val="24"/>
        </w:rPr>
        <w:t>Gestión del Plan Institucional de Capacitación – Vigencia 2026</w:t>
      </w:r>
    </w:p>
    <w:p w14:paraId="3E7A74C9" w14:textId="77777777" w:rsidR="002E625B" w:rsidRPr="00B2698B" w:rsidRDefault="00A91795" w:rsidP="007D02A2">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Para la vigencia 2026, la gestión del Plan Institucional de Capacitación se desarrollará de manera articulada con los objetivos estratégicos del ICANH, el Modelo Integrado de Planeación y Gestión – MIPG y el Plan Nacional de Formación y Capacitación 2023–2030.</w:t>
      </w:r>
    </w:p>
    <w:p w14:paraId="3E7A74CA" w14:textId="77777777" w:rsidR="002E625B" w:rsidRPr="00B2698B" w:rsidRDefault="00A91795" w:rsidP="007D02A2">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La ejecución del plan estará orientada al cierre de brechas de competencias, el fortalecimiento del desempeño institucional y la generación de valor público, mediante acciones formativas pertinentes, oportunas y alineadas con la misionalidad del Instituto.</w:t>
      </w:r>
    </w:p>
    <w:p w14:paraId="3E7A74CB" w14:textId="77777777" w:rsidR="002E625B" w:rsidRPr="00B2698B" w:rsidRDefault="00A91795">
      <w:pPr>
        <w:pStyle w:val="Ttulo2"/>
        <w:numPr>
          <w:ilvl w:val="1"/>
          <w:numId w:val="1"/>
        </w:numPr>
        <w:rPr>
          <w:sz w:val="24"/>
          <w:szCs w:val="24"/>
        </w:rPr>
      </w:pPr>
      <w:bookmarkStart w:id="58" w:name="_heading=h.i6mxn4d8wlp9" w:colFirst="0" w:colLast="0"/>
      <w:bookmarkEnd w:id="58"/>
      <w:r w:rsidRPr="00B2698B">
        <w:rPr>
          <w:sz w:val="24"/>
          <w:szCs w:val="24"/>
        </w:rPr>
        <w:t>Metodología</w:t>
      </w:r>
    </w:p>
    <w:p w14:paraId="3E7A74CC"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La metodología del Plan Institucional de Capacitación 2026 se fundamenta en un enfoque participativo, estratégico y de mejora continua, que comprende las siguientes etapas:</w:t>
      </w:r>
    </w:p>
    <w:p w14:paraId="3E7A74CD" w14:textId="77777777" w:rsidR="002E625B" w:rsidRPr="00B2698B" w:rsidRDefault="00A91795">
      <w:pPr>
        <w:numPr>
          <w:ilvl w:val="0"/>
          <w:numId w:val="9"/>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b/>
          <w:bCs/>
          <w:color w:val="000000"/>
          <w:sz w:val="24"/>
          <w:szCs w:val="24"/>
        </w:rPr>
        <w:t>Identificación de necesidades</w:t>
      </w:r>
      <w:r w:rsidRPr="00B2698B">
        <w:rPr>
          <w:rFonts w:ascii="Arial" w:eastAsia="Arial" w:hAnsi="Arial" w:cs="Arial"/>
          <w:color w:val="000000"/>
          <w:sz w:val="24"/>
          <w:szCs w:val="24"/>
        </w:rPr>
        <w:br/>
        <w:t>A partir de ejercicios de consulta con las áreas del Instituto, acuerdos sindicales, análisis de resultados y balance del PIC 2025, resultados de evaluaciones de desempeño y retroalimentaci</w:t>
      </w:r>
      <w:r w:rsidRPr="00B2698B">
        <w:rPr>
          <w:rFonts w:ascii="Arial" w:eastAsia="Arial" w:hAnsi="Arial" w:cs="Arial"/>
          <w:sz w:val="24"/>
          <w:szCs w:val="24"/>
        </w:rPr>
        <w:t xml:space="preserve">ón de las recientes </w:t>
      </w:r>
      <w:r w:rsidRPr="00B2698B">
        <w:rPr>
          <w:rFonts w:ascii="Arial" w:eastAsia="Arial" w:hAnsi="Arial" w:cs="Arial"/>
          <w:color w:val="000000"/>
          <w:sz w:val="24"/>
          <w:szCs w:val="24"/>
        </w:rPr>
        <w:t>auditorías internas.</w:t>
      </w:r>
    </w:p>
    <w:p w14:paraId="3E7A74CE" w14:textId="77777777" w:rsidR="002E625B" w:rsidRPr="00B2698B" w:rsidRDefault="00A91795">
      <w:pPr>
        <w:numPr>
          <w:ilvl w:val="0"/>
          <w:numId w:val="9"/>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b/>
          <w:bCs/>
          <w:color w:val="000000"/>
          <w:sz w:val="24"/>
          <w:szCs w:val="24"/>
        </w:rPr>
        <w:t>Priorización por demanda y planeación estratégi</w:t>
      </w:r>
      <w:r w:rsidRPr="00B2698B">
        <w:rPr>
          <w:rFonts w:ascii="Arial" w:eastAsia="Arial" w:hAnsi="Arial" w:cs="Arial"/>
          <w:b/>
          <w:bCs/>
          <w:sz w:val="24"/>
          <w:szCs w:val="24"/>
        </w:rPr>
        <w:t>ca:</w:t>
      </w:r>
      <w:r w:rsidRPr="00B2698B">
        <w:rPr>
          <w:rFonts w:ascii="Arial" w:eastAsia="Arial" w:hAnsi="Arial" w:cs="Arial"/>
          <w:color w:val="000000"/>
          <w:sz w:val="24"/>
          <w:szCs w:val="24"/>
        </w:rPr>
        <w:br/>
        <w:t>Las necesidades identificadas se priorizan conforme a criterios de impacto institucional y enfoque misional, disponibilidad presupuestal, pertinencia y/o exigencia normativa y alineación con los ejes estratégicos definidos por la Secretaría G</w:t>
      </w:r>
      <w:r w:rsidRPr="00B2698B">
        <w:rPr>
          <w:rFonts w:ascii="Arial" w:eastAsia="Arial" w:hAnsi="Arial" w:cs="Arial"/>
          <w:sz w:val="24"/>
          <w:szCs w:val="24"/>
        </w:rPr>
        <w:t>eneral</w:t>
      </w:r>
      <w:r w:rsidRPr="00B2698B">
        <w:rPr>
          <w:rFonts w:ascii="Arial" w:eastAsia="Arial" w:hAnsi="Arial" w:cs="Arial"/>
          <w:color w:val="000000"/>
          <w:sz w:val="24"/>
          <w:szCs w:val="24"/>
        </w:rPr>
        <w:t>. En los diferentes comités institucionales y directivos se priorizan temas que de</w:t>
      </w:r>
      <w:r w:rsidRPr="00B2698B">
        <w:rPr>
          <w:rFonts w:ascii="Arial" w:eastAsia="Arial" w:hAnsi="Arial" w:cs="Arial"/>
          <w:sz w:val="24"/>
          <w:szCs w:val="24"/>
        </w:rPr>
        <w:t>ben ser tramitados por medio del área funcional de Talento Humano, para integrar los contenidos pertinentes al PIC.</w:t>
      </w:r>
    </w:p>
    <w:p w14:paraId="3E7A74CF" w14:textId="77777777" w:rsidR="002E625B" w:rsidRPr="00B2698B" w:rsidRDefault="00A91795">
      <w:pPr>
        <w:numPr>
          <w:ilvl w:val="0"/>
          <w:numId w:val="9"/>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b/>
          <w:bCs/>
          <w:color w:val="000000"/>
          <w:sz w:val="24"/>
          <w:szCs w:val="24"/>
        </w:rPr>
        <w:lastRenderedPageBreak/>
        <w:t>Ejecución</w:t>
      </w:r>
      <w:r w:rsidRPr="00B2698B">
        <w:rPr>
          <w:rFonts w:ascii="Arial" w:eastAsia="Arial" w:hAnsi="Arial" w:cs="Arial"/>
          <w:color w:val="000000"/>
          <w:sz w:val="24"/>
          <w:szCs w:val="24"/>
        </w:rPr>
        <w:br/>
        <w:t>Implementación de actividades de capacitación mediante modalidades presenciales, virtuales y mixtas, con</w:t>
      </w:r>
      <w:r w:rsidRPr="00B2698B">
        <w:rPr>
          <w:rFonts w:ascii="Arial" w:eastAsia="Arial" w:hAnsi="Arial" w:cs="Arial"/>
          <w:sz w:val="24"/>
          <w:szCs w:val="24"/>
        </w:rPr>
        <w:t xml:space="preserve"> el </w:t>
      </w:r>
      <w:r w:rsidRPr="00B2698B">
        <w:rPr>
          <w:rFonts w:ascii="Arial" w:eastAsia="Arial" w:hAnsi="Arial" w:cs="Arial"/>
          <w:color w:val="000000"/>
          <w:sz w:val="24"/>
          <w:szCs w:val="24"/>
        </w:rPr>
        <w:t>apoyo de aliados estratégicos</w:t>
      </w:r>
      <w:r w:rsidRPr="00B2698B">
        <w:rPr>
          <w:rFonts w:ascii="Arial" w:eastAsia="Arial" w:hAnsi="Arial" w:cs="Arial"/>
          <w:sz w:val="24"/>
          <w:szCs w:val="24"/>
        </w:rPr>
        <w:t xml:space="preserve"> que se irán vinculando según la pertinencia e idoneidad con respecto a cada tema entre instituciones académicas, entidades del sector público principalmente los contenidos de La Función Pública, entidades prestadoras de servicios de salud y bienestar laboral, entre otras del sector privado.</w:t>
      </w:r>
    </w:p>
    <w:p w14:paraId="630A0B3E" w14:textId="77777777" w:rsidR="002E625B" w:rsidRPr="00B2698B" w:rsidRDefault="002E625B">
      <w:pPr>
        <w:pBdr>
          <w:top w:val="nil"/>
          <w:left w:val="nil"/>
          <w:bottom w:val="nil"/>
          <w:right w:val="nil"/>
          <w:between w:val="nil"/>
        </w:pBdr>
        <w:spacing w:line="240" w:lineRule="auto"/>
        <w:jc w:val="both"/>
        <w:rPr>
          <w:rFonts w:ascii="Arial" w:eastAsia="Arial" w:hAnsi="Arial" w:cs="Arial"/>
          <w:color w:val="000000"/>
          <w:sz w:val="24"/>
          <w:szCs w:val="24"/>
        </w:rPr>
      </w:pPr>
    </w:p>
    <w:p w14:paraId="52635E17" w14:textId="36773BF9" w:rsidR="007D02A2" w:rsidRPr="00B2698B" w:rsidRDefault="007D02A2" w:rsidP="007D02A2">
      <w:pPr>
        <w:pStyle w:val="Ttulo2"/>
        <w:numPr>
          <w:ilvl w:val="1"/>
          <w:numId w:val="1"/>
        </w:numPr>
        <w:rPr>
          <w:b/>
          <w:sz w:val="24"/>
          <w:szCs w:val="24"/>
        </w:rPr>
      </w:pPr>
      <w:r w:rsidRPr="00B2698B">
        <w:rPr>
          <w:b/>
          <w:sz w:val="24"/>
          <w:szCs w:val="24"/>
        </w:rPr>
        <w:t>Cronograma</w:t>
      </w:r>
    </w:p>
    <w:p w14:paraId="3E7A773A" w14:textId="4E68D113" w:rsidR="002E625B" w:rsidRPr="00B2698B" w:rsidRDefault="00A91795" w:rsidP="00A24D47">
      <w:pPr>
        <w:pBdr>
          <w:top w:val="nil"/>
          <w:left w:val="nil"/>
          <w:bottom w:val="nil"/>
          <w:right w:val="nil"/>
          <w:between w:val="nil"/>
        </w:pBdr>
        <w:spacing w:line="240" w:lineRule="auto"/>
        <w:jc w:val="both"/>
        <w:rPr>
          <w:rFonts w:ascii="Arial" w:hAnsi="Arial" w:cs="Arial"/>
          <w:sz w:val="24"/>
          <w:szCs w:val="24"/>
        </w:rPr>
      </w:pPr>
      <w:r w:rsidRPr="00B2698B">
        <w:rPr>
          <w:rFonts w:ascii="Arial" w:hAnsi="Arial" w:cs="Arial"/>
          <w:sz w:val="24"/>
          <w:szCs w:val="24"/>
        </w:rPr>
        <w:t>Seguimiento y evaluación</w:t>
      </w:r>
    </w:p>
    <w:p w14:paraId="3E7A773B"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El seguimiento y la evaluación del Plan Institucional de Capacitación se conciben como procesos permanentes y transversales, orientados a verificar el cumplimiento de los objetivos, indicadores y metas establecidas para la vigencia 2026.</w:t>
      </w:r>
    </w:p>
    <w:p w14:paraId="3E7A773C"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Para tal efecto, se implementarán instrumentos como:</w:t>
      </w:r>
    </w:p>
    <w:p w14:paraId="3E7A773D" w14:textId="77777777" w:rsidR="002E625B" w:rsidRPr="00B2698B" w:rsidRDefault="00A91795">
      <w:pPr>
        <w:numPr>
          <w:ilvl w:val="0"/>
          <w:numId w:val="10"/>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Encuestas de satisfacción. (físicas o digitales)</w:t>
      </w:r>
    </w:p>
    <w:p w14:paraId="3E7A773E" w14:textId="77777777" w:rsidR="002E625B" w:rsidRPr="00B2698B" w:rsidRDefault="00A91795">
      <w:pPr>
        <w:numPr>
          <w:ilvl w:val="0"/>
          <w:numId w:val="10"/>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Registros de asistencia y participación.</w:t>
      </w:r>
    </w:p>
    <w:p w14:paraId="3E7A773F" w14:textId="77777777" w:rsidR="002E625B" w:rsidRPr="00B2698B" w:rsidRDefault="00A91795">
      <w:pPr>
        <w:numPr>
          <w:ilvl w:val="0"/>
          <w:numId w:val="10"/>
        </w:num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Informes de ejecución.</w:t>
      </w:r>
    </w:p>
    <w:p w14:paraId="3E7A7740" w14:textId="77777777" w:rsidR="002E625B" w:rsidRPr="00B2698B" w:rsidRDefault="00A91795">
      <w:pPr>
        <w:numPr>
          <w:ilvl w:val="0"/>
          <w:numId w:val="10"/>
        </w:numPr>
        <w:pBdr>
          <w:top w:val="nil"/>
          <w:left w:val="nil"/>
          <w:bottom w:val="nil"/>
          <w:right w:val="nil"/>
          <w:between w:val="nil"/>
        </w:pBdr>
        <w:spacing w:line="240" w:lineRule="auto"/>
        <w:jc w:val="both"/>
        <w:rPr>
          <w:rFonts w:ascii="Arial" w:eastAsia="Arial" w:hAnsi="Arial" w:cs="Arial"/>
          <w:color w:val="000000"/>
          <w:sz w:val="24"/>
          <w:szCs w:val="24"/>
        </w:rPr>
        <w:sectPr w:rsidR="002E625B" w:rsidRPr="00B2698B" w:rsidSect="00013174">
          <w:headerReference w:type="even" r:id="rId11"/>
          <w:headerReference w:type="default" r:id="rId12"/>
          <w:footerReference w:type="even" r:id="rId13"/>
          <w:footerReference w:type="default" r:id="rId14"/>
          <w:headerReference w:type="first" r:id="rId15"/>
          <w:footerReference w:type="first" r:id="rId16"/>
          <w:pgSz w:w="12240" w:h="15840"/>
          <w:pgMar w:top="907" w:right="1327" w:bottom="1418" w:left="1701" w:header="1372" w:footer="709" w:gutter="0"/>
          <w:pgNumType w:start="1"/>
          <w:cols w:space="720"/>
          <w:titlePg/>
          <w:docGrid w:linePitch="299"/>
        </w:sectPr>
      </w:pPr>
      <w:r w:rsidRPr="00B2698B">
        <w:rPr>
          <w:rFonts w:ascii="Arial" w:eastAsia="Arial" w:hAnsi="Arial" w:cs="Arial"/>
          <w:color w:val="000000"/>
          <w:sz w:val="24"/>
          <w:szCs w:val="24"/>
        </w:rPr>
        <w:t>Indicadores de gestión y cumplimiento.</w:t>
      </w:r>
    </w:p>
    <w:p w14:paraId="3E7A7741"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lastRenderedPageBreak/>
        <w:t>El análisis periódico de la información permitirá identificar avances, desviaciones y oportunidades de mejora, facilitando la toma de decisiones oportunas y el ajuste de las estrategias implementadas.</w:t>
      </w:r>
    </w:p>
    <w:p w14:paraId="3E7A7742"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Los resultados del seguimiento y la evaluación constituirán insumos para la formulación de planes de mejora, garantizando la alineación del PIC con el MIPG y los principios de eficiencia, eficacia y mejora continua.</w:t>
      </w:r>
    </w:p>
    <w:p w14:paraId="3E7A7743" w14:textId="77777777" w:rsidR="002E625B" w:rsidRPr="00B2698B" w:rsidRDefault="00A91795">
      <w:pPr>
        <w:pBdr>
          <w:top w:val="nil"/>
          <w:left w:val="nil"/>
          <w:bottom w:val="nil"/>
          <w:right w:val="nil"/>
          <w:between w:val="nil"/>
        </w:pBdr>
        <w:spacing w:line="240" w:lineRule="auto"/>
        <w:jc w:val="both"/>
        <w:rPr>
          <w:rFonts w:ascii="Arial" w:eastAsia="Arial" w:hAnsi="Arial" w:cs="Arial"/>
          <w:color w:val="000000"/>
          <w:sz w:val="24"/>
          <w:szCs w:val="24"/>
        </w:rPr>
      </w:pPr>
      <w:r w:rsidRPr="00B2698B">
        <w:rPr>
          <w:rFonts w:ascii="Arial" w:eastAsia="Arial" w:hAnsi="Arial" w:cs="Arial"/>
          <w:color w:val="000000"/>
          <w:sz w:val="24"/>
          <w:szCs w:val="24"/>
        </w:rPr>
        <w:t>Con el fin de medir la ejecución y efectividad del Plan Institucional de Capacitaciones, se establecen los siguientes indicadores:</w:t>
      </w:r>
    </w:p>
    <w:tbl>
      <w:tblPr>
        <w:tblStyle w:val="aff2"/>
        <w:tblW w:w="9678" w:type="dxa"/>
        <w:jc w:val="center"/>
        <w:tblInd w:w="0" w:type="dxa"/>
        <w:tblLayout w:type="fixed"/>
        <w:tblLook w:val="0400" w:firstRow="0" w:lastRow="0" w:firstColumn="0" w:lastColumn="0" w:noHBand="0" w:noVBand="1"/>
      </w:tblPr>
      <w:tblGrid>
        <w:gridCol w:w="1494"/>
        <w:gridCol w:w="2489"/>
        <w:gridCol w:w="2831"/>
        <w:gridCol w:w="1403"/>
        <w:gridCol w:w="1461"/>
      </w:tblGrid>
      <w:tr w:rsidR="002E625B" w:rsidRPr="00B2698B" w14:paraId="3E7A7749" w14:textId="77777777">
        <w:trPr>
          <w:trHeight w:val="286"/>
          <w:jc w:val="center"/>
        </w:trPr>
        <w:tc>
          <w:tcPr>
            <w:tcW w:w="1494" w:type="dxa"/>
            <w:tcBorders>
              <w:top w:val="single" w:sz="8" w:space="0" w:color="000000"/>
              <w:left w:val="single" w:sz="8" w:space="0" w:color="000000"/>
              <w:bottom w:val="single" w:sz="4" w:space="0" w:color="000000"/>
              <w:right w:val="single" w:sz="4" w:space="0" w:color="000000"/>
            </w:tcBorders>
            <w:shd w:val="clear" w:color="auto" w:fill="9BC2E6"/>
            <w:vAlign w:val="center"/>
          </w:tcPr>
          <w:p w14:paraId="3E7A7744" w14:textId="77777777" w:rsidR="002E625B" w:rsidRPr="00B2698B" w:rsidRDefault="00A91795">
            <w:pPr>
              <w:spacing w:after="0" w:line="240" w:lineRule="auto"/>
              <w:jc w:val="both"/>
              <w:rPr>
                <w:rFonts w:ascii="Arial" w:eastAsia="Arial" w:hAnsi="Arial" w:cs="Arial"/>
                <w:b/>
                <w:bCs/>
                <w:color w:val="000000"/>
                <w:szCs w:val="24"/>
              </w:rPr>
            </w:pPr>
            <w:r w:rsidRPr="00B2698B">
              <w:rPr>
                <w:rFonts w:ascii="Arial" w:eastAsia="Arial" w:hAnsi="Arial" w:cs="Arial"/>
                <w:b/>
                <w:bCs/>
                <w:color w:val="000000"/>
                <w:szCs w:val="24"/>
              </w:rPr>
              <w:t>Tipo de indicador</w:t>
            </w:r>
          </w:p>
        </w:tc>
        <w:tc>
          <w:tcPr>
            <w:tcW w:w="2489" w:type="dxa"/>
            <w:tcBorders>
              <w:top w:val="single" w:sz="8" w:space="0" w:color="000000"/>
              <w:left w:val="nil"/>
              <w:bottom w:val="single" w:sz="4" w:space="0" w:color="000000"/>
              <w:right w:val="single" w:sz="4" w:space="0" w:color="000000"/>
            </w:tcBorders>
            <w:shd w:val="clear" w:color="auto" w:fill="9BC2E6"/>
            <w:vAlign w:val="center"/>
          </w:tcPr>
          <w:p w14:paraId="3E7A7745" w14:textId="77777777" w:rsidR="002E625B" w:rsidRPr="00B2698B" w:rsidRDefault="00A91795">
            <w:pPr>
              <w:spacing w:after="0" w:line="240" w:lineRule="auto"/>
              <w:jc w:val="both"/>
              <w:rPr>
                <w:rFonts w:ascii="Arial" w:eastAsia="Arial" w:hAnsi="Arial" w:cs="Arial"/>
                <w:b/>
                <w:bCs/>
                <w:color w:val="000000"/>
                <w:szCs w:val="24"/>
              </w:rPr>
            </w:pPr>
            <w:r w:rsidRPr="00B2698B">
              <w:rPr>
                <w:rFonts w:ascii="Arial" w:eastAsia="Arial" w:hAnsi="Arial" w:cs="Arial"/>
                <w:b/>
                <w:bCs/>
                <w:color w:val="000000"/>
                <w:szCs w:val="24"/>
              </w:rPr>
              <w:t>Nombre del indicador</w:t>
            </w:r>
          </w:p>
        </w:tc>
        <w:tc>
          <w:tcPr>
            <w:tcW w:w="2831" w:type="dxa"/>
            <w:tcBorders>
              <w:top w:val="single" w:sz="8" w:space="0" w:color="000000"/>
              <w:left w:val="nil"/>
              <w:bottom w:val="single" w:sz="4" w:space="0" w:color="000000"/>
              <w:right w:val="single" w:sz="4" w:space="0" w:color="000000"/>
            </w:tcBorders>
            <w:shd w:val="clear" w:color="auto" w:fill="9BC2E6"/>
            <w:vAlign w:val="center"/>
          </w:tcPr>
          <w:p w14:paraId="3E7A7746" w14:textId="77777777" w:rsidR="002E625B" w:rsidRPr="00B2698B" w:rsidRDefault="00A91795">
            <w:pPr>
              <w:spacing w:after="0" w:line="240" w:lineRule="auto"/>
              <w:jc w:val="both"/>
              <w:rPr>
                <w:rFonts w:ascii="Arial" w:eastAsia="Arial" w:hAnsi="Arial" w:cs="Arial"/>
                <w:b/>
                <w:bCs/>
                <w:color w:val="000000"/>
                <w:szCs w:val="24"/>
              </w:rPr>
            </w:pPr>
            <w:r w:rsidRPr="00B2698B">
              <w:rPr>
                <w:rFonts w:ascii="Arial" w:eastAsia="Arial" w:hAnsi="Arial" w:cs="Arial"/>
                <w:b/>
                <w:bCs/>
                <w:color w:val="000000"/>
                <w:szCs w:val="24"/>
              </w:rPr>
              <w:t>Fórmula / Forma de evaluación</w:t>
            </w:r>
          </w:p>
        </w:tc>
        <w:tc>
          <w:tcPr>
            <w:tcW w:w="1403" w:type="dxa"/>
            <w:tcBorders>
              <w:top w:val="single" w:sz="8" w:space="0" w:color="000000"/>
              <w:left w:val="nil"/>
              <w:bottom w:val="single" w:sz="4" w:space="0" w:color="000000"/>
              <w:right w:val="single" w:sz="4" w:space="0" w:color="000000"/>
            </w:tcBorders>
            <w:shd w:val="clear" w:color="auto" w:fill="9BC2E6"/>
            <w:vAlign w:val="center"/>
          </w:tcPr>
          <w:p w14:paraId="3E7A7747" w14:textId="77777777" w:rsidR="002E625B" w:rsidRPr="00B2698B" w:rsidRDefault="00A91795">
            <w:pPr>
              <w:spacing w:after="0" w:line="240" w:lineRule="auto"/>
              <w:jc w:val="both"/>
              <w:rPr>
                <w:rFonts w:ascii="Arial" w:eastAsia="Arial" w:hAnsi="Arial" w:cs="Arial"/>
                <w:b/>
                <w:bCs/>
                <w:color w:val="000000"/>
                <w:szCs w:val="24"/>
              </w:rPr>
            </w:pPr>
            <w:r w:rsidRPr="00B2698B">
              <w:rPr>
                <w:rFonts w:ascii="Arial" w:eastAsia="Arial" w:hAnsi="Arial" w:cs="Arial"/>
                <w:b/>
                <w:bCs/>
                <w:color w:val="000000"/>
                <w:szCs w:val="24"/>
              </w:rPr>
              <w:t>Meta 2026</w:t>
            </w:r>
          </w:p>
        </w:tc>
        <w:tc>
          <w:tcPr>
            <w:tcW w:w="1461" w:type="dxa"/>
            <w:tcBorders>
              <w:top w:val="single" w:sz="8" w:space="0" w:color="000000"/>
              <w:left w:val="nil"/>
              <w:bottom w:val="single" w:sz="4" w:space="0" w:color="000000"/>
              <w:right w:val="single" w:sz="8" w:space="0" w:color="000000"/>
            </w:tcBorders>
            <w:shd w:val="clear" w:color="auto" w:fill="9BC2E6"/>
            <w:vAlign w:val="center"/>
          </w:tcPr>
          <w:p w14:paraId="3E7A7748" w14:textId="77777777" w:rsidR="002E625B" w:rsidRPr="00B2698B" w:rsidRDefault="00A91795">
            <w:pPr>
              <w:spacing w:after="0" w:line="240" w:lineRule="auto"/>
              <w:jc w:val="both"/>
              <w:rPr>
                <w:rFonts w:ascii="Arial" w:eastAsia="Arial" w:hAnsi="Arial" w:cs="Arial"/>
                <w:b/>
                <w:bCs/>
                <w:color w:val="000000"/>
                <w:szCs w:val="24"/>
              </w:rPr>
            </w:pPr>
            <w:r w:rsidRPr="00B2698B">
              <w:rPr>
                <w:rFonts w:ascii="Arial" w:eastAsia="Arial" w:hAnsi="Arial" w:cs="Arial"/>
                <w:b/>
                <w:bCs/>
                <w:color w:val="000000"/>
                <w:szCs w:val="24"/>
              </w:rPr>
              <w:t>Periodicidad</w:t>
            </w:r>
          </w:p>
        </w:tc>
      </w:tr>
      <w:tr w:rsidR="002E625B" w:rsidRPr="00B2698B" w14:paraId="3E7A774F" w14:textId="77777777">
        <w:trPr>
          <w:trHeight w:val="1146"/>
          <w:jc w:val="center"/>
        </w:trPr>
        <w:tc>
          <w:tcPr>
            <w:tcW w:w="1494" w:type="dxa"/>
            <w:tcBorders>
              <w:top w:val="nil"/>
              <w:left w:val="single" w:sz="8" w:space="0" w:color="000000"/>
              <w:bottom w:val="single" w:sz="4" w:space="0" w:color="000000"/>
              <w:right w:val="single" w:sz="4" w:space="0" w:color="000000"/>
            </w:tcBorders>
            <w:shd w:val="clear" w:color="auto" w:fill="DDEBF7"/>
            <w:vAlign w:val="center"/>
          </w:tcPr>
          <w:p w14:paraId="3E7A774A" w14:textId="77777777" w:rsidR="002E625B" w:rsidRPr="00B2698B" w:rsidRDefault="00A91795">
            <w:pPr>
              <w:spacing w:after="0" w:line="240" w:lineRule="auto"/>
              <w:jc w:val="both"/>
              <w:rPr>
                <w:rFonts w:ascii="Arial" w:eastAsia="Arial" w:hAnsi="Arial" w:cs="Arial"/>
                <w:color w:val="000000"/>
                <w:szCs w:val="24"/>
              </w:rPr>
            </w:pPr>
            <w:r w:rsidRPr="00B2698B">
              <w:rPr>
                <w:rFonts w:ascii="Arial" w:eastAsia="Arial" w:hAnsi="Arial" w:cs="Arial"/>
                <w:color w:val="000000"/>
                <w:szCs w:val="24"/>
              </w:rPr>
              <w:t xml:space="preserve">Indicador de cumplimiento y eficiencia. </w:t>
            </w:r>
          </w:p>
        </w:tc>
        <w:tc>
          <w:tcPr>
            <w:tcW w:w="2489" w:type="dxa"/>
            <w:tcBorders>
              <w:top w:val="nil"/>
              <w:left w:val="nil"/>
              <w:bottom w:val="single" w:sz="4" w:space="0" w:color="000000"/>
              <w:right w:val="single" w:sz="4" w:space="0" w:color="000000"/>
            </w:tcBorders>
            <w:shd w:val="clear" w:color="auto" w:fill="DDEBF7"/>
            <w:vAlign w:val="center"/>
          </w:tcPr>
          <w:p w14:paraId="3E7A774B" w14:textId="77777777" w:rsidR="002E625B" w:rsidRPr="00B2698B" w:rsidRDefault="00A91795">
            <w:pPr>
              <w:spacing w:after="0" w:line="240" w:lineRule="auto"/>
              <w:jc w:val="both"/>
              <w:rPr>
                <w:rFonts w:ascii="Arial" w:eastAsia="Arial" w:hAnsi="Arial" w:cs="Arial"/>
                <w:color w:val="000000"/>
                <w:szCs w:val="24"/>
              </w:rPr>
            </w:pPr>
            <w:r w:rsidRPr="00B2698B">
              <w:rPr>
                <w:rFonts w:ascii="Arial" w:eastAsia="Arial" w:hAnsi="Arial" w:cs="Arial"/>
                <w:color w:val="000000"/>
                <w:szCs w:val="24"/>
              </w:rPr>
              <w:t>Porcentaje de ejecución del Plan de Capacitación / Cumplimiento del cronograma de capacitación</w:t>
            </w:r>
          </w:p>
        </w:tc>
        <w:tc>
          <w:tcPr>
            <w:tcW w:w="2831" w:type="dxa"/>
            <w:tcBorders>
              <w:top w:val="nil"/>
              <w:left w:val="nil"/>
              <w:bottom w:val="single" w:sz="4" w:space="0" w:color="000000"/>
              <w:right w:val="single" w:sz="4" w:space="0" w:color="000000"/>
            </w:tcBorders>
            <w:shd w:val="clear" w:color="auto" w:fill="DDEBF7"/>
            <w:vAlign w:val="center"/>
          </w:tcPr>
          <w:p w14:paraId="3E7A774C" w14:textId="77777777" w:rsidR="002E625B" w:rsidRPr="00B2698B" w:rsidRDefault="00A91795">
            <w:pPr>
              <w:spacing w:after="0" w:line="240" w:lineRule="auto"/>
              <w:jc w:val="both"/>
              <w:rPr>
                <w:rFonts w:ascii="Arial" w:eastAsia="Arial" w:hAnsi="Arial" w:cs="Arial"/>
                <w:color w:val="000000"/>
                <w:szCs w:val="24"/>
              </w:rPr>
            </w:pPr>
            <w:r w:rsidRPr="00B2698B">
              <w:rPr>
                <w:rFonts w:ascii="Arial" w:eastAsia="Arial" w:hAnsi="Arial" w:cs="Arial"/>
                <w:color w:val="000000"/>
                <w:szCs w:val="24"/>
              </w:rPr>
              <w:t>(Número de actividades de capacitación ejecutadas / Número de actividades programadas) × 100</w:t>
            </w:r>
          </w:p>
        </w:tc>
        <w:tc>
          <w:tcPr>
            <w:tcW w:w="1403" w:type="dxa"/>
            <w:tcBorders>
              <w:top w:val="nil"/>
              <w:left w:val="nil"/>
              <w:bottom w:val="single" w:sz="4" w:space="0" w:color="000000"/>
              <w:right w:val="single" w:sz="4" w:space="0" w:color="000000"/>
            </w:tcBorders>
            <w:shd w:val="clear" w:color="auto" w:fill="DDEBF7"/>
            <w:vAlign w:val="center"/>
          </w:tcPr>
          <w:p w14:paraId="3E7A774D" w14:textId="77777777" w:rsidR="002E625B" w:rsidRPr="00B2698B" w:rsidRDefault="00505913">
            <w:pPr>
              <w:spacing w:after="0" w:line="240" w:lineRule="auto"/>
              <w:jc w:val="both"/>
              <w:rPr>
                <w:rFonts w:ascii="Arial" w:eastAsia="Arial" w:hAnsi="Arial" w:cs="Arial"/>
                <w:color w:val="000000"/>
                <w:szCs w:val="24"/>
              </w:rPr>
            </w:pPr>
            <w:sdt>
              <w:sdtPr>
                <w:rPr>
                  <w:rFonts w:ascii="Arial" w:hAnsi="Arial" w:cs="Arial"/>
                  <w:szCs w:val="24"/>
                </w:rPr>
                <w:tag w:val="goog_rdk_0"/>
                <w:id w:val="-1114426184"/>
              </w:sdtPr>
              <w:sdtEndPr/>
              <w:sdtContent>
                <w:r w:rsidR="00A91795" w:rsidRPr="00B2698B">
                  <w:rPr>
                    <w:rFonts w:ascii="Arial" w:eastAsia="Arial Unicode MS" w:hAnsi="Arial" w:cs="Arial"/>
                    <w:color w:val="000000"/>
                    <w:szCs w:val="24"/>
                  </w:rPr>
                  <w:t>≥ 90 % de ejecución del PIC</w:t>
                </w:r>
              </w:sdtContent>
            </w:sdt>
          </w:p>
        </w:tc>
        <w:tc>
          <w:tcPr>
            <w:tcW w:w="1461" w:type="dxa"/>
            <w:tcBorders>
              <w:top w:val="nil"/>
              <w:left w:val="nil"/>
              <w:bottom w:val="single" w:sz="4" w:space="0" w:color="000000"/>
              <w:right w:val="single" w:sz="8" w:space="0" w:color="000000"/>
            </w:tcBorders>
            <w:shd w:val="clear" w:color="auto" w:fill="DDEBF7"/>
            <w:vAlign w:val="center"/>
          </w:tcPr>
          <w:p w14:paraId="3E7A774E" w14:textId="77777777" w:rsidR="002E625B" w:rsidRPr="00B2698B" w:rsidRDefault="00A91795">
            <w:pPr>
              <w:spacing w:after="0" w:line="240" w:lineRule="auto"/>
              <w:jc w:val="both"/>
              <w:rPr>
                <w:rFonts w:ascii="Arial" w:eastAsia="Arial" w:hAnsi="Arial" w:cs="Arial"/>
                <w:color w:val="000000"/>
                <w:szCs w:val="24"/>
              </w:rPr>
            </w:pPr>
            <w:r w:rsidRPr="00B2698B">
              <w:rPr>
                <w:rFonts w:ascii="Arial" w:eastAsia="Arial" w:hAnsi="Arial" w:cs="Arial"/>
                <w:color w:val="000000"/>
                <w:szCs w:val="24"/>
              </w:rPr>
              <w:t>Trimestral</w:t>
            </w:r>
          </w:p>
        </w:tc>
      </w:tr>
    </w:tbl>
    <w:p w14:paraId="3E7A7762" w14:textId="77777777" w:rsidR="002E625B" w:rsidRPr="00B2698B" w:rsidRDefault="002E625B">
      <w:pPr>
        <w:spacing w:before="240" w:after="240" w:line="276" w:lineRule="auto"/>
        <w:jc w:val="both"/>
        <w:rPr>
          <w:rFonts w:ascii="Arial" w:eastAsia="Arial" w:hAnsi="Arial" w:cs="Arial"/>
          <w:sz w:val="24"/>
          <w:szCs w:val="24"/>
        </w:rPr>
      </w:pPr>
    </w:p>
    <w:tbl>
      <w:tblPr>
        <w:tblStyle w:val="aff3"/>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2551"/>
        <w:gridCol w:w="5103"/>
      </w:tblGrid>
      <w:tr w:rsidR="002E625B" w:rsidRPr="00B2698B" w14:paraId="3E7A7764" w14:textId="77777777" w:rsidTr="00B2698B">
        <w:trPr>
          <w:trHeight w:val="318"/>
          <w:jc w:val="center"/>
        </w:trPr>
        <w:tc>
          <w:tcPr>
            <w:tcW w:w="9776" w:type="dxa"/>
            <w:gridSpan w:val="3"/>
            <w:shd w:val="clear" w:color="auto" w:fill="B3B3B3"/>
          </w:tcPr>
          <w:p w14:paraId="3E7A7763" w14:textId="77777777" w:rsidR="002E625B" w:rsidRPr="00B2698B" w:rsidRDefault="00A91795">
            <w:pPr>
              <w:spacing w:after="0" w:line="276" w:lineRule="auto"/>
              <w:ind w:right="1630"/>
              <w:jc w:val="both"/>
              <w:rPr>
                <w:rFonts w:ascii="Arial" w:eastAsia="Arial" w:hAnsi="Arial" w:cs="Arial"/>
                <w:sz w:val="20"/>
                <w:szCs w:val="24"/>
              </w:rPr>
            </w:pPr>
            <w:r w:rsidRPr="00B2698B">
              <w:rPr>
                <w:rFonts w:ascii="Arial" w:eastAsia="Arial" w:hAnsi="Arial" w:cs="Arial"/>
                <w:b/>
                <w:bCs/>
                <w:sz w:val="20"/>
                <w:szCs w:val="24"/>
              </w:rPr>
              <w:t>11. Control de cambios</w:t>
            </w:r>
          </w:p>
        </w:tc>
      </w:tr>
      <w:tr w:rsidR="002E625B" w:rsidRPr="00B2698B" w14:paraId="3E7A7768" w14:textId="77777777" w:rsidTr="00B2698B">
        <w:trPr>
          <w:trHeight w:val="273"/>
          <w:jc w:val="center"/>
        </w:trPr>
        <w:tc>
          <w:tcPr>
            <w:tcW w:w="2122" w:type="dxa"/>
            <w:vAlign w:val="center"/>
          </w:tcPr>
          <w:p w14:paraId="3E7A7765" w14:textId="77777777" w:rsidR="002E625B" w:rsidRPr="00B2698B" w:rsidRDefault="00A91795" w:rsidP="00B2698B">
            <w:pPr>
              <w:spacing w:line="276" w:lineRule="auto"/>
              <w:ind w:hanging="2"/>
              <w:jc w:val="center"/>
              <w:rPr>
                <w:rFonts w:ascii="Arial" w:eastAsia="Arial" w:hAnsi="Arial" w:cs="Arial"/>
                <w:sz w:val="20"/>
                <w:szCs w:val="24"/>
              </w:rPr>
            </w:pPr>
            <w:r w:rsidRPr="00B2698B">
              <w:rPr>
                <w:rFonts w:ascii="Arial" w:eastAsia="Arial" w:hAnsi="Arial" w:cs="Arial"/>
                <w:b/>
                <w:bCs/>
                <w:sz w:val="20"/>
                <w:szCs w:val="24"/>
              </w:rPr>
              <w:t>Versión</w:t>
            </w:r>
          </w:p>
        </w:tc>
        <w:tc>
          <w:tcPr>
            <w:tcW w:w="2551" w:type="dxa"/>
            <w:vAlign w:val="center"/>
          </w:tcPr>
          <w:p w14:paraId="3E7A7766" w14:textId="77777777" w:rsidR="002E625B" w:rsidRPr="00B2698B" w:rsidRDefault="00A91795" w:rsidP="00B2698B">
            <w:pPr>
              <w:spacing w:line="276" w:lineRule="auto"/>
              <w:ind w:hanging="2"/>
              <w:jc w:val="center"/>
              <w:rPr>
                <w:rFonts w:ascii="Arial" w:eastAsia="Arial" w:hAnsi="Arial" w:cs="Arial"/>
                <w:sz w:val="20"/>
                <w:szCs w:val="24"/>
              </w:rPr>
            </w:pPr>
            <w:r w:rsidRPr="00B2698B">
              <w:rPr>
                <w:rFonts w:ascii="Arial" w:eastAsia="Arial" w:hAnsi="Arial" w:cs="Arial"/>
                <w:b/>
                <w:bCs/>
                <w:sz w:val="20"/>
                <w:szCs w:val="24"/>
              </w:rPr>
              <w:t>Fecha</w:t>
            </w:r>
          </w:p>
        </w:tc>
        <w:tc>
          <w:tcPr>
            <w:tcW w:w="5103" w:type="dxa"/>
            <w:vAlign w:val="center"/>
          </w:tcPr>
          <w:p w14:paraId="3E7A7767" w14:textId="77777777" w:rsidR="002E625B" w:rsidRPr="00B2698B" w:rsidRDefault="00A91795" w:rsidP="00B2698B">
            <w:pPr>
              <w:spacing w:line="276" w:lineRule="auto"/>
              <w:ind w:right="1296" w:hanging="2"/>
              <w:jc w:val="center"/>
              <w:rPr>
                <w:rFonts w:ascii="Arial" w:eastAsia="Arial" w:hAnsi="Arial" w:cs="Arial"/>
                <w:sz w:val="20"/>
                <w:szCs w:val="24"/>
              </w:rPr>
            </w:pPr>
            <w:r w:rsidRPr="00B2698B">
              <w:rPr>
                <w:rFonts w:ascii="Arial" w:eastAsia="Arial" w:hAnsi="Arial" w:cs="Arial"/>
                <w:b/>
                <w:bCs/>
                <w:sz w:val="20"/>
                <w:szCs w:val="24"/>
              </w:rPr>
              <w:t>Descripción general del cambio</w:t>
            </w:r>
          </w:p>
        </w:tc>
      </w:tr>
      <w:tr w:rsidR="002E625B" w:rsidRPr="00B2698B" w14:paraId="3E7A776C" w14:textId="77777777" w:rsidTr="00B2698B">
        <w:trPr>
          <w:trHeight w:val="152"/>
          <w:jc w:val="center"/>
        </w:trPr>
        <w:tc>
          <w:tcPr>
            <w:tcW w:w="2122" w:type="dxa"/>
            <w:vAlign w:val="center"/>
          </w:tcPr>
          <w:p w14:paraId="3E7A7769" w14:textId="56DDB519" w:rsidR="002E625B" w:rsidRPr="00B2698B" w:rsidRDefault="00B2698B" w:rsidP="00B2698B">
            <w:pPr>
              <w:spacing w:line="276" w:lineRule="auto"/>
              <w:ind w:hanging="2"/>
              <w:jc w:val="center"/>
              <w:rPr>
                <w:rFonts w:ascii="Arial" w:eastAsia="Arial" w:hAnsi="Arial" w:cs="Arial"/>
                <w:sz w:val="20"/>
                <w:szCs w:val="24"/>
              </w:rPr>
            </w:pPr>
            <w:r w:rsidRPr="00B2698B">
              <w:rPr>
                <w:rFonts w:ascii="Arial" w:eastAsia="Arial" w:hAnsi="Arial" w:cs="Arial"/>
                <w:sz w:val="20"/>
                <w:szCs w:val="24"/>
              </w:rPr>
              <w:t>01</w:t>
            </w:r>
          </w:p>
        </w:tc>
        <w:tc>
          <w:tcPr>
            <w:tcW w:w="2551" w:type="dxa"/>
            <w:vAlign w:val="center"/>
          </w:tcPr>
          <w:p w14:paraId="3E7A776A" w14:textId="420966EA" w:rsidR="002E625B" w:rsidRPr="00B2698B" w:rsidRDefault="00B2698B" w:rsidP="00B2698B">
            <w:pPr>
              <w:spacing w:line="276" w:lineRule="auto"/>
              <w:ind w:hanging="2"/>
              <w:jc w:val="center"/>
              <w:rPr>
                <w:rFonts w:ascii="Arial" w:eastAsia="Arial" w:hAnsi="Arial" w:cs="Arial"/>
                <w:sz w:val="20"/>
                <w:szCs w:val="24"/>
              </w:rPr>
            </w:pPr>
            <w:r w:rsidRPr="00B2698B">
              <w:rPr>
                <w:rFonts w:ascii="Arial" w:eastAsia="Arial" w:hAnsi="Arial" w:cs="Arial"/>
                <w:sz w:val="20"/>
                <w:szCs w:val="24"/>
              </w:rPr>
              <w:t>2026-01-25</w:t>
            </w:r>
          </w:p>
        </w:tc>
        <w:tc>
          <w:tcPr>
            <w:tcW w:w="5103" w:type="dxa"/>
            <w:vAlign w:val="center"/>
          </w:tcPr>
          <w:p w14:paraId="3E7A776B" w14:textId="71808EF2" w:rsidR="002E625B" w:rsidRPr="00B2698B" w:rsidRDefault="00B2698B" w:rsidP="00B2698B">
            <w:pPr>
              <w:spacing w:line="276" w:lineRule="auto"/>
              <w:ind w:hanging="2"/>
              <w:jc w:val="center"/>
              <w:rPr>
                <w:rFonts w:ascii="Arial" w:eastAsia="Arial" w:hAnsi="Arial" w:cs="Arial"/>
                <w:sz w:val="20"/>
                <w:szCs w:val="24"/>
              </w:rPr>
            </w:pPr>
            <w:r w:rsidRPr="00B2698B">
              <w:rPr>
                <w:rFonts w:ascii="Arial" w:eastAsia="Arial" w:hAnsi="Arial" w:cs="Arial"/>
                <w:sz w:val="20"/>
                <w:szCs w:val="24"/>
              </w:rPr>
              <w:t>Creación del documento</w:t>
            </w:r>
          </w:p>
        </w:tc>
      </w:tr>
    </w:tbl>
    <w:p w14:paraId="3E7A776D" w14:textId="77777777" w:rsidR="002E625B" w:rsidRPr="00B2698B" w:rsidRDefault="002E625B">
      <w:pPr>
        <w:spacing w:after="0" w:line="276" w:lineRule="auto"/>
        <w:jc w:val="both"/>
        <w:rPr>
          <w:rFonts w:ascii="Arial" w:eastAsia="Arial" w:hAnsi="Arial" w:cs="Arial"/>
          <w:i/>
          <w:iCs/>
          <w:sz w:val="24"/>
          <w:szCs w:val="24"/>
          <w:highlight w:val="lightGray"/>
        </w:rPr>
      </w:pPr>
    </w:p>
    <w:p w14:paraId="3E7A776E" w14:textId="77777777" w:rsidR="002E625B" w:rsidRPr="00B2698B" w:rsidRDefault="002E625B">
      <w:pPr>
        <w:spacing w:after="0" w:line="276" w:lineRule="auto"/>
        <w:jc w:val="both"/>
        <w:rPr>
          <w:rFonts w:ascii="Arial" w:eastAsia="Arial" w:hAnsi="Arial" w:cs="Arial"/>
          <w:i/>
          <w:iCs/>
          <w:sz w:val="24"/>
          <w:szCs w:val="24"/>
          <w:highlight w:val="lightGray"/>
        </w:rPr>
      </w:pPr>
    </w:p>
    <w:tbl>
      <w:tblPr>
        <w:tblStyle w:val="aff4"/>
        <w:tblpPr w:leftFromText="141" w:rightFromText="141" w:vertAnchor="text" w:tblpX="-237"/>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260"/>
        <w:gridCol w:w="2977"/>
      </w:tblGrid>
      <w:tr w:rsidR="002E625B" w:rsidRPr="00B2698B" w14:paraId="3E7A7772" w14:textId="77777777" w:rsidTr="00B2698B">
        <w:trPr>
          <w:trHeight w:val="105"/>
        </w:trPr>
        <w:tc>
          <w:tcPr>
            <w:tcW w:w="3402" w:type="dxa"/>
            <w:vAlign w:val="center"/>
          </w:tcPr>
          <w:p w14:paraId="3E7A776F" w14:textId="77777777" w:rsidR="002E625B" w:rsidRPr="00B2698B" w:rsidRDefault="00A91795" w:rsidP="00B2698B">
            <w:pPr>
              <w:spacing w:after="0" w:line="276" w:lineRule="auto"/>
              <w:ind w:hanging="2"/>
              <w:jc w:val="both"/>
              <w:rPr>
                <w:rFonts w:ascii="Arial" w:eastAsia="Arial" w:hAnsi="Arial" w:cs="Arial"/>
                <w:sz w:val="18"/>
                <w:szCs w:val="24"/>
                <w:shd w:val="clear" w:color="auto" w:fill="F8F8F8"/>
              </w:rPr>
            </w:pPr>
            <w:r w:rsidRPr="00B2698B">
              <w:rPr>
                <w:rFonts w:ascii="Arial" w:eastAsia="Arial" w:hAnsi="Arial" w:cs="Arial"/>
                <w:b/>
                <w:bCs/>
                <w:sz w:val="18"/>
                <w:szCs w:val="24"/>
              </w:rPr>
              <w:t>ELABORÓ</w:t>
            </w:r>
          </w:p>
        </w:tc>
        <w:tc>
          <w:tcPr>
            <w:tcW w:w="3260" w:type="dxa"/>
            <w:vAlign w:val="center"/>
          </w:tcPr>
          <w:p w14:paraId="3E7A7770" w14:textId="77777777" w:rsidR="002E625B" w:rsidRPr="00B2698B" w:rsidRDefault="00A91795" w:rsidP="00B2698B">
            <w:pPr>
              <w:spacing w:after="0" w:line="276" w:lineRule="auto"/>
              <w:ind w:hanging="2"/>
              <w:jc w:val="both"/>
              <w:rPr>
                <w:rFonts w:ascii="Arial" w:eastAsia="Arial" w:hAnsi="Arial" w:cs="Arial"/>
                <w:sz w:val="18"/>
                <w:szCs w:val="24"/>
                <w:shd w:val="clear" w:color="auto" w:fill="F8F8F8"/>
              </w:rPr>
            </w:pPr>
            <w:r w:rsidRPr="00B2698B">
              <w:rPr>
                <w:rFonts w:ascii="Arial" w:eastAsia="Arial" w:hAnsi="Arial" w:cs="Arial"/>
                <w:b/>
                <w:bCs/>
                <w:sz w:val="18"/>
                <w:szCs w:val="24"/>
              </w:rPr>
              <w:t>REVISÓ</w:t>
            </w:r>
          </w:p>
        </w:tc>
        <w:tc>
          <w:tcPr>
            <w:tcW w:w="2977" w:type="dxa"/>
            <w:vAlign w:val="center"/>
          </w:tcPr>
          <w:p w14:paraId="3E7A7771" w14:textId="77777777" w:rsidR="002E625B" w:rsidRPr="00B2698B" w:rsidRDefault="00A91795" w:rsidP="00B2698B">
            <w:pPr>
              <w:spacing w:after="0" w:line="276" w:lineRule="auto"/>
              <w:ind w:hanging="2"/>
              <w:jc w:val="both"/>
              <w:rPr>
                <w:rFonts w:ascii="Arial" w:eastAsia="Arial" w:hAnsi="Arial" w:cs="Arial"/>
                <w:sz w:val="18"/>
                <w:szCs w:val="24"/>
                <w:shd w:val="clear" w:color="auto" w:fill="F8F8F8"/>
              </w:rPr>
            </w:pPr>
            <w:r w:rsidRPr="00B2698B">
              <w:rPr>
                <w:rFonts w:ascii="Arial" w:eastAsia="Arial" w:hAnsi="Arial" w:cs="Arial"/>
                <w:b/>
                <w:bCs/>
                <w:sz w:val="18"/>
                <w:szCs w:val="24"/>
              </w:rPr>
              <w:t>APROBÓ</w:t>
            </w:r>
          </w:p>
        </w:tc>
      </w:tr>
      <w:tr w:rsidR="002E625B" w:rsidRPr="00B2698B" w14:paraId="3E7A7776" w14:textId="77777777" w:rsidTr="00B2698B">
        <w:trPr>
          <w:trHeight w:val="169"/>
        </w:trPr>
        <w:tc>
          <w:tcPr>
            <w:tcW w:w="3402" w:type="dxa"/>
            <w:vAlign w:val="center"/>
          </w:tcPr>
          <w:p w14:paraId="3E7A7773" w14:textId="345D4267" w:rsidR="002E625B" w:rsidRPr="00B2698B" w:rsidRDefault="00A91795" w:rsidP="00B2698B">
            <w:pPr>
              <w:spacing w:after="0" w:line="276" w:lineRule="auto"/>
              <w:ind w:hanging="2"/>
              <w:jc w:val="both"/>
              <w:rPr>
                <w:rFonts w:ascii="Arial" w:eastAsia="Arial" w:hAnsi="Arial" w:cs="Arial"/>
                <w:b/>
                <w:bCs/>
                <w:sz w:val="18"/>
                <w:szCs w:val="24"/>
              </w:rPr>
            </w:pPr>
            <w:r w:rsidRPr="00B2698B">
              <w:rPr>
                <w:rFonts w:ascii="Arial" w:eastAsia="Arial" w:hAnsi="Arial" w:cs="Arial"/>
                <w:b/>
                <w:bCs/>
                <w:sz w:val="18"/>
                <w:szCs w:val="24"/>
              </w:rPr>
              <w:t xml:space="preserve">Cargo: </w:t>
            </w:r>
            <w:r w:rsidR="006862CD" w:rsidRPr="00B2698B">
              <w:rPr>
                <w:rFonts w:ascii="Arial" w:hAnsi="Arial" w:cs="Arial"/>
                <w:sz w:val="18"/>
                <w:szCs w:val="24"/>
              </w:rPr>
              <w:t xml:space="preserve"> </w:t>
            </w:r>
            <w:r w:rsidR="006862CD" w:rsidRPr="00B2698B">
              <w:rPr>
                <w:rFonts w:ascii="Arial" w:eastAsia="Arial" w:hAnsi="Arial" w:cs="Arial"/>
                <w:sz w:val="18"/>
                <w:szCs w:val="24"/>
              </w:rPr>
              <w:t>Profesional especializado código 2028 grado 15 - Área Funcional de Talento Humano.</w:t>
            </w:r>
          </w:p>
        </w:tc>
        <w:tc>
          <w:tcPr>
            <w:tcW w:w="3260" w:type="dxa"/>
            <w:vAlign w:val="center"/>
          </w:tcPr>
          <w:p w14:paraId="0CD77E62" w14:textId="77777777" w:rsidR="002E625B" w:rsidRDefault="00A91795" w:rsidP="00B2698B">
            <w:pPr>
              <w:spacing w:after="0" w:line="276" w:lineRule="auto"/>
              <w:ind w:hanging="2"/>
              <w:jc w:val="both"/>
              <w:rPr>
                <w:rFonts w:ascii="Arial" w:eastAsia="Arial" w:hAnsi="Arial" w:cs="Arial"/>
                <w:sz w:val="18"/>
                <w:szCs w:val="24"/>
              </w:rPr>
            </w:pPr>
            <w:r w:rsidRPr="00B2698B">
              <w:rPr>
                <w:rFonts w:ascii="Arial" w:eastAsia="Arial" w:hAnsi="Arial" w:cs="Arial"/>
                <w:b/>
                <w:bCs/>
                <w:sz w:val="18"/>
                <w:szCs w:val="24"/>
              </w:rPr>
              <w:t xml:space="preserve">Cargo:  </w:t>
            </w:r>
            <w:r w:rsidRPr="00B2698B">
              <w:rPr>
                <w:rFonts w:ascii="Arial" w:eastAsia="Arial" w:hAnsi="Arial" w:cs="Arial"/>
                <w:sz w:val="18"/>
                <w:szCs w:val="24"/>
              </w:rPr>
              <w:t>Secretaría General</w:t>
            </w:r>
          </w:p>
          <w:p w14:paraId="3E7A7774" w14:textId="7E2C34DE" w:rsidR="00B2698B" w:rsidRPr="00B2698B" w:rsidRDefault="00B2698B" w:rsidP="00B2698B">
            <w:pPr>
              <w:spacing w:after="0" w:line="276" w:lineRule="auto"/>
              <w:ind w:hanging="2"/>
              <w:jc w:val="both"/>
              <w:rPr>
                <w:rFonts w:ascii="Arial" w:eastAsia="Arial" w:hAnsi="Arial" w:cs="Arial"/>
                <w:b/>
                <w:bCs/>
                <w:sz w:val="18"/>
                <w:szCs w:val="24"/>
              </w:rPr>
            </w:pPr>
            <w:r>
              <w:rPr>
                <w:rFonts w:ascii="Arial" w:eastAsia="Arial" w:hAnsi="Arial" w:cs="Arial"/>
                <w:sz w:val="18"/>
                <w:szCs w:val="24"/>
              </w:rPr>
              <w:t>Profesional Contratista Oficina Asesora de Planeación</w:t>
            </w:r>
          </w:p>
        </w:tc>
        <w:tc>
          <w:tcPr>
            <w:tcW w:w="2977" w:type="dxa"/>
            <w:vAlign w:val="center"/>
          </w:tcPr>
          <w:p w14:paraId="3E7A7775" w14:textId="5178CBBF" w:rsidR="002E625B" w:rsidRPr="00B2698B" w:rsidRDefault="00A91795" w:rsidP="00B2698B">
            <w:pPr>
              <w:spacing w:after="0" w:line="276" w:lineRule="auto"/>
              <w:jc w:val="both"/>
              <w:rPr>
                <w:rFonts w:ascii="Arial" w:eastAsia="Arial" w:hAnsi="Arial" w:cs="Arial"/>
                <w:b/>
                <w:bCs/>
                <w:sz w:val="18"/>
                <w:szCs w:val="24"/>
              </w:rPr>
            </w:pPr>
            <w:r w:rsidRPr="00B2698B">
              <w:rPr>
                <w:rFonts w:ascii="Arial" w:eastAsia="Arial" w:hAnsi="Arial" w:cs="Arial"/>
                <w:b/>
                <w:bCs/>
                <w:sz w:val="18"/>
                <w:szCs w:val="24"/>
              </w:rPr>
              <w:t xml:space="preserve">Cargo: </w:t>
            </w:r>
            <w:r w:rsidR="00B2698B" w:rsidRPr="00B2698B">
              <w:rPr>
                <w:rFonts w:ascii="Arial" w:eastAsia="Arial" w:hAnsi="Arial" w:cs="Arial"/>
                <w:sz w:val="18"/>
                <w:szCs w:val="24"/>
              </w:rPr>
              <w:t xml:space="preserve"> </w:t>
            </w:r>
            <w:r w:rsidR="00B2698B" w:rsidRPr="00B2698B">
              <w:rPr>
                <w:rFonts w:ascii="Arial" w:eastAsia="Arial" w:hAnsi="Arial" w:cs="Arial"/>
                <w:sz w:val="18"/>
                <w:szCs w:val="24"/>
              </w:rPr>
              <w:t>Secretaría General</w:t>
            </w:r>
          </w:p>
        </w:tc>
      </w:tr>
      <w:tr w:rsidR="002E625B" w:rsidRPr="00B2698B" w14:paraId="3E7A777A" w14:textId="77777777" w:rsidTr="00B2698B">
        <w:trPr>
          <w:trHeight w:val="169"/>
        </w:trPr>
        <w:tc>
          <w:tcPr>
            <w:tcW w:w="3402" w:type="dxa"/>
            <w:vAlign w:val="center"/>
          </w:tcPr>
          <w:p w14:paraId="3E7A7777" w14:textId="77777777" w:rsidR="002E625B" w:rsidRPr="00B2698B" w:rsidRDefault="00A91795" w:rsidP="00B2698B">
            <w:pPr>
              <w:spacing w:after="0" w:line="276" w:lineRule="auto"/>
              <w:ind w:hanging="2"/>
              <w:jc w:val="both"/>
              <w:rPr>
                <w:rFonts w:ascii="Arial" w:eastAsia="Arial" w:hAnsi="Arial" w:cs="Arial"/>
                <w:b/>
                <w:bCs/>
                <w:sz w:val="18"/>
                <w:szCs w:val="24"/>
              </w:rPr>
            </w:pPr>
            <w:r w:rsidRPr="00B2698B">
              <w:rPr>
                <w:rFonts w:ascii="Arial" w:eastAsia="Arial" w:hAnsi="Arial" w:cs="Arial"/>
                <w:b/>
                <w:bCs/>
                <w:sz w:val="18"/>
                <w:szCs w:val="24"/>
              </w:rPr>
              <w:t xml:space="preserve">Fecha: </w:t>
            </w:r>
            <w:r w:rsidRPr="00B2698B">
              <w:rPr>
                <w:rFonts w:ascii="Arial" w:eastAsia="Arial" w:hAnsi="Arial" w:cs="Arial"/>
                <w:sz w:val="18"/>
                <w:szCs w:val="24"/>
              </w:rPr>
              <w:t xml:space="preserve"> 2026-01-25</w:t>
            </w:r>
          </w:p>
        </w:tc>
        <w:tc>
          <w:tcPr>
            <w:tcW w:w="3260" w:type="dxa"/>
          </w:tcPr>
          <w:p w14:paraId="3E7A7778" w14:textId="5ED336C3" w:rsidR="002E625B" w:rsidRPr="00B2698B" w:rsidRDefault="00A91795" w:rsidP="00B2698B">
            <w:pPr>
              <w:spacing w:after="0" w:line="276" w:lineRule="auto"/>
              <w:ind w:hanging="2"/>
              <w:jc w:val="both"/>
              <w:rPr>
                <w:rFonts w:ascii="Arial" w:eastAsia="Arial" w:hAnsi="Arial" w:cs="Arial"/>
                <w:b/>
                <w:bCs/>
                <w:sz w:val="18"/>
                <w:szCs w:val="24"/>
              </w:rPr>
            </w:pPr>
            <w:r w:rsidRPr="00B2698B">
              <w:rPr>
                <w:rFonts w:ascii="Arial" w:eastAsia="Arial" w:hAnsi="Arial" w:cs="Arial"/>
                <w:b/>
                <w:bCs/>
                <w:sz w:val="18"/>
                <w:szCs w:val="24"/>
              </w:rPr>
              <w:t xml:space="preserve">Fecha: </w:t>
            </w:r>
            <w:r w:rsidRPr="00B2698B">
              <w:rPr>
                <w:rFonts w:ascii="Arial" w:eastAsia="Arial" w:hAnsi="Arial" w:cs="Arial"/>
                <w:sz w:val="18"/>
                <w:szCs w:val="24"/>
              </w:rPr>
              <w:t xml:space="preserve"> 2026-01-2</w:t>
            </w:r>
            <w:r w:rsidR="00B2698B" w:rsidRPr="00B2698B">
              <w:rPr>
                <w:rFonts w:ascii="Arial" w:eastAsia="Arial" w:hAnsi="Arial" w:cs="Arial"/>
                <w:sz w:val="18"/>
                <w:szCs w:val="24"/>
              </w:rPr>
              <w:t>9</w:t>
            </w:r>
          </w:p>
        </w:tc>
        <w:tc>
          <w:tcPr>
            <w:tcW w:w="2977" w:type="dxa"/>
          </w:tcPr>
          <w:p w14:paraId="3E7A7779" w14:textId="614D68DB" w:rsidR="002E625B" w:rsidRPr="00B2698B" w:rsidRDefault="00A91795" w:rsidP="00B2698B">
            <w:pPr>
              <w:spacing w:after="0" w:line="276" w:lineRule="auto"/>
              <w:ind w:hanging="2"/>
              <w:jc w:val="both"/>
              <w:rPr>
                <w:rFonts w:ascii="Arial" w:eastAsia="Arial" w:hAnsi="Arial" w:cs="Arial"/>
                <w:b/>
                <w:bCs/>
                <w:sz w:val="18"/>
                <w:szCs w:val="24"/>
              </w:rPr>
            </w:pPr>
            <w:r w:rsidRPr="00B2698B">
              <w:rPr>
                <w:rFonts w:ascii="Arial" w:eastAsia="Arial" w:hAnsi="Arial" w:cs="Arial"/>
                <w:b/>
                <w:bCs/>
                <w:sz w:val="18"/>
                <w:szCs w:val="24"/>
              </w:rPr>
              <w:t xml:space="preserve">Fecha: </w:t>
            </w:r>
            <w:r w:rsidR="00B2698B" w:rsidRPr="00B2698B">
              <w:rPr>
                <w:rFonts w:ascii="Arial" w:eastAsia="Arial" w:hAnsi="Arial" w:cs="Arial"/>
                <w:sz w:val="18"/>
                <w:szCs w:val="24"/>
              </w:rPr>
              <w:t>2026-01-29</w:t>
            </w:r>
          </w:p>
        </w:tc>
      </w:tr>
    </w:tbl>
    <w:p w14:paraId="3E7A777B" w14:textId="77777777" w:rsidR="002E625B" w:rsidRPr="00B2698B" w:rsidRDefault="002E625B">
      <w:pPr>
        <w:spacing w:line="276" w:lineRule="auto"/>
        <w:jc w:val="both"/>
        <w:rPr>
          <w:rFonts w:ascii="Arial" w:eastAsia="Arial" w:hAnsi="Arial" w:cs="Arial"/>
          <w:i/>
          <w:iCs/>
          <w:sz w:val="24"/>
          <w:szCs w:val="24"/>
          <w:highlight w:val="lightGray"/>
        </w:rPr>
      </w:pPr>
    </w:p>
    <w:sectPr w:rsidR="002E625B" w:rsidRPr="00B2698B">
      <w:pgSz w:w="12240" w:h="15840"/>
      <w:pgMar w:top="907" w:right="1327" w:bottom="1418" w:left="1701" w:header="137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A7B5D" w14:textId="77777777" w:rsidR="00505913" w:rsidRDefault="00505913">
      <w:pPr>
        <w:spacing w:after="0" w:line="240" w:lineRule="auto"/>
      </w:pPr>
      <w:r>
        <w:separator/>
      </w:r>
    </w:p>
  </w:endnote>
  <w:endnote w:type="continuationSeparator" w:id="0">
    <w:p w14:paraId="02DD31F8" w14:textId="77777777" w:rsidR="00505913" w:rsidRDefault="00505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ACBADA4-EFF4-45EE-BDD6-29E6EFD2C31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029BC2B7-08D7-423C-B0FB-C27094350013}"/>
    <w:embedBold r:id="rId3" w:fontKey="{FF98537A-5AAB-447B-81E4-8D96E1097D83}"/>
    <w:embedItalic r:id="rId4" w:fontKey="{D28EBA11-1B8C-4075-8295-AED5C8BADFD9}"/>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5" w:fontKey="{DCE829DD-766E-4C0C-B5BA-526C244DF74D}"/>
    <w:embedItalic r:id="rId6" w:fontKey="{2EF4FBB0-D3D9-446B-8C01-A1210CBA3AC7}"/>
  </w:font>
  <w:font w:name="Cambria">
    <w:panose1 w:val="02040503050406030204"/>
    <w:charset w:val="00"/>
    <w:family w:val="roman"/>
    <w:pitch w:val="variable"/>
    <w:sig w:usb0="A00002EF" w:usb1="4000004B" w:usb2="00000000" w:usb3="00000000" w:csb0="0000009F" w:csb1="00000000"/>
    <w:embedRegular r:id="rId7" w:fontKey="{AA2C8979-2AB3-4FC8-ADDD-858CB449D6E1}"/>
  </w:font>
  <w:font w:name="Georgia">
    <w:panose1 w:val="02040502050405020303"/>
    <w:charset w:val="00"/>
    <w:family w:val="roman"/>
    <w:pitch w:val="variable"/>
    <w:sig w:usb0="00000287" w:usb1="00000000" w:usb2="00000000" w:usb3="00000000" w:csb0="0000009F" w:csb1="00000000"/>
    <w:embedItalic r:id="rId8" w:fontKey="{93E3CACE-B417-426D-9749-8C8C594D429D}"/>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4777A" w14:textId="77777777" w:rsidR="006E0647" w:rsidRDefault="006E06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7796" w14:textId="77777777" w:rsidR="002E625B" w:rsidRDefault="002E62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A7797" w14:textId="77AE074E" w:rsidR="002E625B" w:rsidRDefault="00A91795">
    <w:pPr>
      <w:pBdr>
        <w:top w:val="nil"/>
        <w:left w:val="nil"/>
        <w:bottom w:val="nil"/>
        <w:right w:val="nil"/>
        <w:between w:val="nil"/>
      </w:pBdr>
      <w:tabs>
        <w:tab w:val="center" w:pos="4419"/>
        <w:tab w:val="right" w:pos="8838"/>
      </w:tabs>
      <w:spacing w:after="0" w:line="240" w:lineRule="auto"/>
      <w:jc w:val="right"/>
      <w:rPr>
        <w:color w:val="000000"/>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6E0647">
      <w:rPr>
        <w:rFonts w:ascii="Arial" w:eastAsia="Arial" w:hAnsi="Arial" w:cs="Arial"/>
        <w:noProof/>
        <w:sz w:val="18"/>
        <w:szCs w:val="18"/>
      </w:rPr>
      <w:t>2</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6E0647">
      <w:rPr>
        <w:rFonts w:ascii="Arial" w:eastAsia="Arial" w:hAnsi="Arial" w:cs="Arial"/>
        <w:noProof/>
        <w:sz w:val="18"/>
        <w:szCs w:val="18"/>
      </w:rPr>
      <w:t>21</w:t>
    </w:r>
    <w:r>
      <w:rPr>
        <w:rFonts w:ascii="Arial" w:eastAsia="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6EB31" w14:textId="77777777" w:rsidR="006E0647" w:rsidRDefault="006E06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591F4" w14:textId="77777777" w:rsidR="00505913" w:rsidRDefault="00505913">
      <w:pPr>
        <w:spacing w:after="0" w:line="240" w:lineRule="auto"/>
      </w:pPr>
      <w:r>
        <w:separator/>
      </w:r>
    </w:p>
  </w:footnote>
  <w:footnote w:type="continuationSeparator" w:id="0">
    <w:p w14:paraId="518C56F5" w14:textId="77777777" w:rsidR="00505913" w:rsidRDefault="00505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54D6E" w14:textId="77777777" w:rsidR="006E0647" w:rsidRDefault="006E06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7784" w14:textId="77777777" w:rsidR="002E625B" w:rsidRDefault="002E625B">
    <w:pPr>
      <w:widowControl w:val="0"/>
      <w:pBdr>
        <w:top w:val="nil"/>
        <w:left w:val="nil"/>
        <w:bottom w:val="nil"/>
        <w:right w:val="nil"/>
        <w:between w:val="nil"/>
      </w:pBdr>
      <w:spacing w:after="0" w:line="276" w:lineRule="auto"/>
      <w:rPr>
        <w:i/>
        <w:iCs/>
        <w:sz w:val="24"/>
        <w:szCs w:val="24"/>
        <w:highlight w:val="lightGray"/>
      </w:rPr>
    </w:pPr>
  </w:p>
  <w:tbl>
    <w:tblPr>
      <w:tblStyle w:val="aff5"/>
      <w:tblW w:w="107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746"/>
      <w:gridCol w:w="1276"/>
      <w:gridCol w:w="2121"/>
    </w:tblGrid>
    <w:tr w:rsidR="002E625B" w14:paraId="3E7A7789" w14:textId="77777777">
      <w:trPr>
        <w:cantSplit/>
        <w:trHeight w:val="264"/>
        <w:jc w:val="center"/>
      </w:trPr>
      <w:tc>
        <w:tcPr>
          <w:tcW w:w="1620" w:type="dxa"/>
          <w:vMerge w:val="restart"/>
          <w:vAlign w:val="center"/>
        </w:tcPr>
        <w:p w14:paraId="3E7A7785" w14:textId="77777777" w:rsidR="002E625B" w:rsidRDefault="00A91795">
          <w:pPr>
            <w:pBdr>
              <w:top w:val="nil"/>
              <w:left w:val="nil"/>
              <w:bottom w:val="nil"/>
              <w:right w:val="nil"/>
              <w:between w:val="nil"/>
            </w:pBdr>
            <w:spacing w:line="240" w:lineRule="auto"/>
            <w:ind w:right="360"/>
            <w:rPr>
              <w:rFonts w:ascii="Arial" w:eastAsia="Arial" w:hAnsi="Arial" w:cs="Arial"/>
            </w:rPr>
          </w:pPr>
          <w:r>
            <w:rPr>
              <w:noProof/>
              <w:lang w:eastAsia="es-CO"/>
            </w:rPr>
            <w:drawing>
              <wp:anchor distT="0" distB="0" distL="114300" distR="114300" simplePos="0" relativeHeight="251655680" behindDoc="0" locked="0" layoutInCell="1" hidden="0" allowOverlap="1" wp14:anchorId="3E7A7799" wp14:editId="3E7A779A">
                <wp:simplePos x="0" y="0"/>
                <wp:positionH relativeFrom="column">
                  <wp:posOffset>104142</wp:posOffset>
                </wp:positionH>
                <wp:positionV relativeFrom="paragraph">
                  <wp:posOffset>2540</wp:posOffset>
                </wp:positionV>
                <wp:extent cx="723900" cy="781050"/>
                <wp:effectExtent l="0" t="0" r="0" b="0"/>
                <wp:wrapNone/>
                <wp:docPr id="2131396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900" cy="781050"/>
                        </a:xfrm>
                        <a:prstGeom prst="rect">
                          <a:avLst/>
                        </a:prstGeom>
                        <a:ln/>
                      </pic:spPr>
                    </pic:pic>
                  </a:graphicData>
                </a:graphic>
              </wp:anchor>
            </w:drawing>
          </w:r>
        </w:p>
      </w:tc>
      <w:tc>
        <w:tcPr>
          <w:tcW w:w="5746" w:type="dxa"/>
          <w:vMerge w:val="restart"/>
          <w:vAlign w:val="center"/>
        </w:tcPr>
        <w:p w14:paraId="3E7A7786" w14:textId="77777777" w:rsidR="002E625B" w:rsidRDefault="00A91795">
          <w:pPr>
            <w:pBdr>
              <w:top w:val="nil"/>
              <w:left w:val="nil"/>
              <w:bottom w:val="nil"/>
              <w:right w:val="nil"/>
              <w:between w:val="nil"/>
            </w:pBdr>
            <w:spacing w:line="240" w:lineRule="auto"/>
            <w:ind w:right="77" w:hanging="2"/>
            <w:jc w:val="center"/>
            <w:rPr>
              <w:rFonts w:ascii="Arial" w:eastAsia="Arial" w:hAnsi="Arial" w:cs="Arial"/>
            </w:rPr>
          </w:pPr>
          <w:r>
            <w:rPr>
              <w:rFonts w:ascii="Arial" w:eastAsia="Arial" w:hAnsi="Arial" w:cs="Arial"/>
              <w:b/>
              <w:bCs/>
            </w:rPr>
            <w:t>PROCEDIMIENTO GESTIÓN DE PLANEACIÓN INSTITUCIONAL</w:t>
          </w:r>
        </w:p>
      </w:tc>
      <w:tc>
        <w:tcPr>
          <w:tcW w:w="1276" w:type="dxa"/>
          <w:vAlign w:val="center"/>
        </w:tcPr>
        <w:p w14:paraId="3E7A7787" w14:textId="77777777" w:rsidR="002E625B" w:rsidRDefault="00A91795">
          <w:pPr>
            <w:pBdr>
              <w:top w:val="nil"/>
              <w:left w:val="nil"/>
              <w:bottom w:val="nil"/>
              <w:right w:val="nil"/>
              <w:between w:val="nil"/>
            </w:pBdr>
            <w:tabs>
              <w:tab w:val="left" w:pos="2192"/>
            </w:tabs>
            <w:spacing w:line="240" w:lineRule="auto"/>
            <w:ind w:hanging="2"/>
            <w:rPr>
              <w:rFonts w:ascii="Arial" w:eastAsia="Arial" w:hAnsi="Arial" w:cs="Arial"/>
            </w:rPr>
          </w:pPr>
          <w:r>
            <w:rPr>
              <w:rFonts w:ascii="Arial" w:eastAsia="Arial" w:hAnsi="Arial" w:cs="Arial"/>
              <w:b/>
              <w:bCs/>
            </w:rPr>
            <w:t>CÓDIGO:</w:t>
          </w:r>
        </w:p>
      </w:tc>
      <w:tc>
        <w:tcPr>
          <w:tcW w:w="2121" w:type="dxa"/>
          <w:vAlign w:val="center"/>
        </w:tcPr>
        <w:p w14:paraId="3E7A7788" w14:textId="77777777" w:rsidR="002E625B" w:rsidRDefault="00A91795">
          <w:pPr>
            <w:pBdr>
              <w:top w:val="nil"/>
              <w:left w:val="nil"/>
              <w:bottom w:val="nil"/>
              <w:right w:val="nil"/>
              <w:between w:val="nil"/>
            </w:pBdr>
            <w:tabs>
              <w:tab w:val="left" w:pos="2192"/>
            </w:tabs>
            <w:spacing w:line="240" w:lineRule="auto"/>
            <w:ind w:hanging="2"/>
            <w:jc w:val="center"/>
            <w:rPr>
              <w:rFonts w:ascii="Arial" w:eastAsia="Arial" w:hAnsi="Arial" w:cs="Arial"/>
              <w:b/>
              <w:bCs/>
            </w:rPr>
          </w:pPr>
          <w:r>
            <w:rPr>
              <w:rFonts w:ascii="Arial" w:eastAsia="Arial" w:hAnsi="Arial" w:cs="Arial"/>
              <w:b/>
              <w:bCs/>
            </w:rPr>
            <w:t>DEP-PR-02-F0-05</w:t>
          </w:r>
        </w:p>
      </w:tc>
      <w:bookmarkStart w:id="59" w:name="_GoBack"/>
      <w:bookmarkEnd w:id="59"/>
    </w:tr>
    <w:tr w:rsidR="002E625B" w14:paraId="3E7A778E" w14:textId="77777777">
      <w:trPr>
        <w:cantSplit/>
        <w:trHeight w:val="197"/>
        <w:jc w:val="center"/>
      </w:trPr>
      <w:tc>
        <w:tcPr>
          <w:tcW w:w="1620" w:type="dxa"/>
          <w:vMerge/>
          <w:vAlign w:val="center"/>
        </w:tcPr>
        <w:p w14:paraId="3E7A778A" w14:textId="77777777" w:rsidR="002E625B" w:rsidRDefault="002E625B">
          <w:pPr>
            <w:widowControl w:val="0"/>
            <w:pBdr>
              <w:top w:val="nil"/>
              <w:left w:val="nil"/>
              <w:bottom w:val="nil"/>
              <w:right w:val="nil"/>
              <w:between w:val="nil"/>
            </w:pBdr>
            <w:spacing w:after="0" w:line="276" w:lineRule="auto"/>
            <w:rPr>
              <w:rFonts w:ascii="Arial" w:eastAsia="Arial" w:hAnsi="Arial" w:cs="Arial"/>
              <w:b/>
              <w:bCs/>
            </w:rPr>
          </w:pPr>
        </w:p>
      </w:tc>
      <w:tc>
        <w:tcPr>
          <w:tcW w:w="5746" w:type="dxa"/>
          <w:vMerge/>
          <w:vAlign w:val="center"/>
        </w:tcPr>
        <w:p w14:paraId="3E7A778B" w14:textId="77777777" w:rsidR="002E625B" w:rsidRDefault="002E625B">
          <w:pPr>
            <w:widowControl w:val="0"/>
            <w:pBdr>
              <w:top w:val="nil"/>
              <w:left w:val="nil"/>
              <w:bottom w:val="nil"/>
              <w:right w:val="nil"/>
              <w:between w:val="nil"/>
            </w:pBdr>
            <w:spacing w:after="0" w:line="276" w:lineRule="auto"/>
            <w:rPr>
              <w:rFonts w:ascii="Arial" w:eastAsia="Arial" w:hAnsi="Arial" w:cs="Arial"/>
              <w:b/>
              <w:bCs/>
            </w:rPr>
          </w:pPr>
        </w:p>
      </w:tc>
      <w:tc>
        <w:tcPr>
          <w:tcW w:w="1276" w:type="dxa"/>
          <w:vAlign w:val="center"/>
        </w:tcPr>
        <w:p w14:paraId="3E7A778C" w14:textId="77777777" w:rsidR="002E625B" w:rsidRDefault="00A91795">
          <w:pPr>
            <w:pBdr>
              <w:top w:val="nil"/>
              <w:left w:val="nil"/>
              <w:bottom w:val="nil"/>
              <w:right w:val="nil"/>
              <w:between w:val="nil"/>
            </w:pBdr>
            <w:tabs>
              <w:tab w:val="left" w:pos="2192"/>
            </w:tabs>
            <w:spacing w:line="240" w:lineRule="auto"/>
            <w:ind w:hanging="2"/>
            <w:rPr>
              <w:rFonts w:ascii="Arial" w:eastAsia="Arial" w:hAnsi="Arial" w:cs="Arial"/>
            </w:rPr>
          </w:pPr>
          <w:r>
            <w:rPr>
              <w:rFonts w:ascii="Arial" w:eastAsia="Arial" w:hAnsi="Arial" w:cs="Arial"/>
              <w:b/>
              <w:bCs/>
            </w:rPr>
            <w:t>VERSIÓN:</w:t>
          </w:r>
        </w:p>
      </w:tc>
      <w:tc>
        <w:tcPr>
          <w:tcW w:w="2121" w:type="dxa"/>
          <w:vAlign w:val="center"/>
        </w:tcPr>
        <w:p w14:paraId="3E7A778D" w14:textId="77777777" w:rsidR="002E625B" w:rsidRDefault="00A91795">
          <w:pPr>
            <w:pBdr>
              <w:top w:val="nil"/>
              <w:left w:val="nil"/>
              <w:bottom w:val="nil"/>
              <w:right w:val="nil"/>
              <w:between w:val="nil"/>
            </w:pBdr>
            <w:tabs>
              <w:tab w:val="left" w:pos="2192"/>
            </w:tabs>
            <w:spacing w:line="240" w:lineRule="auto"/>
            <w:ind w:hanging="2"/>
            <w:jc w:val="center"/>
            <w:rPr>
              <w:rFonts w:ascii="Arial" w:eastAsia="Arial" w:hAnsi="Arial" w:cs="Arial"/>
              <w:b/>
              <w:bCs/>
            </w:rPr>
          </w:pPr>
          <w:r>
            <w:rPr>
              <w:rFonts w:ascii="Arial" w:eastAsia="Arial" w:hAnsi="Arial" w:cs="Arial"/>
              <w:b/>
              <w:bCs/>
            </w:rPr>
            <w:t>01</w:t>
          </w:r>
        </w:p>
      </w:tc>
    </w:tr>
    <w:tr w:rsidR="002E625B" w14:paraId="3E7A7793" w14:textId="77777777">
      <w:trPr>
        <w:cantSplit/>
        <w:trHeight w:val="197"/>
        <w:jc w:val="center"/>
      </w:trPr>
      <w:tc>
        <w:tcPr>
          <w:tcW w:w="1620" w:type="dxa"/>
          <w:vMerge/>
          <w:vAlign w:val="center"/>
        </w:tcPr>
        <w:p w14:paraId="3E7A778F" w14:textId="77777777" w:rsidR="002E625B" w:rsidRDefault="002E625B">
          <w:pPr>
            <w:widowControl w:val="0"/>
            <w:pBdr>
              <w:top w:val="nil"/>
              <w:left w:val="nil"/>
              <w:bottom w:val="nil"/>
              <w:right w:val="nil"/>
              <w:between w:val="nil"/>
            </w:pBdr>
            <w:spacing w:after="0" w:line="276" w:lineRule="auto"/>
            <w:rPr>
              <w:rFonts w:ascii="Arial" w:eastAsia="Arial" w:hAnsi="Arial" w:cs="Arial"/>
              <w:b/>
              <w:bCs/>
            </w:rPr>
          </w:pPr>
        </w:p>
      </w:tc>
      <w:tc>
        <w:tcPr>
          <w:tcW w:w="5746" w:type="dxa"/>
          <w:vAlign w:val="center"/>
        </w:tcPr>
        <w:p w14:paraId="2912F153" w14:textId="77777777" w:rsidR="002E625B" w:rsidRDefault="00A91795">
          <w:pPr>
            <w:pBdr>
              <w:top w:val="nil"/>
              <w:left w:val="nil"/>
              <w:bottom w:val="nil"/>
              <w:right w:val="nil"/>
              <w:between w:val="nil"/>
            </w:pBdr>
            <w:spacing w:line="240" w:lineRule="auto"/>
            <w:ind w:right="77" w:hanging="2"/>
            <w:jc w:val="center"/>
            <w:rPr>
              <w:rFonts w:ascii="Arial" w:eastAsia="Arial" w:hAnsi="Arial" w:cs="Arial"/>
              <w:b/>
              <w:bCs/>
            </w:rPr>
          </w:pPr>
          <w:r>
            <w:rPr>
              <w:rFonts w:ascii="Arial" w:eastAsia="Arial" w:hAnsi="Arial" w:cs="Arial"/>
              <w:b/>
              <w:bCs/>
            </w:rPr>
            <w:t>PLANES INSTITUCIONALES</w:t>
          </w:r>
        </w:p>
        <w:p w14:paraId="3E7A7790" w14:textId="457D63D5" w:rsidR="00B2698B" w:rsidRDefault="00B2698B">
          <w:pPr>
            <w:pBdr>
              <w:top w:val="nil"/>
              <w:left w:val="nil"/>
              <w:bottom w:val="nil"/>
              <w:right w:val="nil"/>
              <w:between w:val="nil"/>
            </w:pBdr>
            <w:spacing w:line="240" w:lineRule="auto"/>
            <w:ind w:right="77" w:hanging="2"/>
            <w:jc w:val="center"/>
            <w:rPr>
              <w:rFonts w:ascii="Arial" w:eastAsia="Arial" w:hAnsi="Arial" w:cs="Arial"/>
              <w:b/>
              <w:bCs/>
            </w:rPr>
          </w:pPr>
          <w:r>
            <w:rPr>
              <w:rFonts w:ascii="Arial" w:eastAsia="Arial" w:hAnsi="Arial" w:cs="Arial"/>
              <w:b/>
              <w:bCs/>
            </w:rPr>
            <w:t>PLAN INSTITUCIONAL DE CAPACITACIÓN</w:t>
          </w:r>
        </w:p>
      </w:tc>
      <w:tc>
        <w:tcPr>
          <w:tcW w:w="1276" w:type="dxa"/>
          <w:vAlign w:val="center"/>
        </w:tcPr>
        <w:p w14:paraId="3E7A7791" w14:textId="77777777" w:rsidR="002E625B" w:rsidRDefault="00A91795">
          <w:pPr>
            <w:pBdr>
              <w:top w:val="nil"/>
              <w:left w:val="nil"/>
              <w:bottom w:val="nil"/>
              <w:right w:val="nil"/>
              <w:between w:val="nil"/>
            </w:pBdr>
            <w:tabs>
              <w:tab w:val="left" w:pos="2192"/>
            </w:tabs>
            <w:spacing w:line="240" w:lineRule="auto"/>
            <w:ind w:hanging="2"/>
            <w:rPr>
              <w:rFonts w:ascii="Arial" w:eastAsia="Arial" w:hAnsi="Arial" w:cs="Arial"/>
            </w:rPr>
          </w:pPr>
          <w:r>
            <w:rPr>
              <w:rFonts w:ascii="Arial" w:eastAsia="Arial" w:hAnsi="Arial" w:cs="Arial"/>
              <w:b/>
              <w:bCs/>
            </w:rPr>
            <w:t>FECHA:</w:t>
          </w:r>
        </w:p>
      </w:tc>
      <w:tc>
        <w:tcPr>
          <w:tcW w:w="2121" w:type="dxa"/>
          <w:vAlign w:val="center"/>
        </w:tcPr>
        <w:p w14:paraId="3E7A7792" w14:textId="77777777" w:rsidR="002E625B" w:rsidRDefault="00A91795">
          <w:pPr>
            <w:tabs>
              <w:tab w:val="center" w:pos="4419"/>
              <w:tab w:val="right" w:pos="8838"/>
            </w:tabs>
            <w:ind w:hanging="2"/>
            <w:jc w:val="center"/>
            <w:rPr>
              <w:rFonts w:ascii="Arial" w:eastAsia="Arial" w:hAnsi="Arial" w:cs="Arial"/>
              <w:b/>
              <w:bCs/>
            </w:rPr>
          </w:pPr>
          <w:r>
            <w:rPr>
              <w:rFonts w:ascii="Arial" w:eastAsia="Arial" w:hAnsi="Arial" w:cs="Arial"/>
              <w:b/>
              <w:bCs/>
            </w:rPr>
            <w:t>11-12-2025</w:t>
          </w:r>
        </w:p>
      </w:tc>
    </w:tr>
  </w:tbl>
  <w:p w14:paraId="3E7A7794" w14:textId="77777777" w:rsidR="002E625B" w:rsidRDefault="00505913">
    <w:pPr>
      <w:pBdr>
        <w:top w:val="nil"/>
        <w:left w:val="nil"/>
        <w:bottom w:val="nil"/>
        <w:right w:val="nil"/>
        <w:between w:val="nil"/>
      </w:pBdr>
      <w:spacing w:line="240" w:lineRule="auto"/>
      <w:ind w:left="-993"/>
      <w:rPr>
        <w:rFonts w:ascii="Arial" w:eastAsia="Arial" w:hAnsi="Arial" w:cs="Arial"/>
        <w:sz w:val="20"/>
        <w:szCs w:val="20"/>
      </w:rPr>
    </w:pPr>
    <w:r>
      <w:rPr>
        <w:rFonts w:ascii="Arial" w:eastAsia="Arial" w:hAnsi="Arial" w:cs="Arial"/>
        <w:sz w:val="20"/>
        <w:szCs w:val="20"/>
      </w:rPr>
      <w:pict w14:anchorId="3E7A7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51.9pt;height:97.4pt;rotation:315;z-index:-251656704;visibility:visible;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r w:rsidR="00A91795">
      <w:rPr>
        <w:rFonts w:ascii="Arial" w:eastAsia="Arial" w:hAnsi="Arial" w:cs="Arial"/>
        <w:sz w:val="20"/>
        <w:szCs w:val="20"/>
      </w:rPr>
      <w:t xml:space="preserve">     Documento de Carácter</w:t>
    </w:r>
    <w:r w:rsidR="00A91795">
      <w:rPr>
        <w:rFonts w:ascii="Arial" w:eastAsia="Arial" w:hAnsi="Arial" w:cs="Arial"/>
        <w:sz w:val="20"/>
        <w:szCs w:val="20"/>
      </w:rPr>
      <w:tab/>
      <w:t xml:space="preserve">        Público</w:t>
    </w:r>
    <w:r w:rsidR="00A91795">
      <w:rPr>
        <w:rFonts w:ascii="Arial" w:eastAsia="Arial" w:hAnsi="Arial" w:cs="Arial"/>
        <w:sz w:val="20"/>
        <w:szCs w:val="20"/>
      </w:rPr>
      <w:tab/>
      <w:t xml:space="preserve"> </w:t>
    </w:r>
    <w:r w:rsidR="00A91795">
      <w:rPr>
        <w:rFonts w:ascii="Arial" w:eastAsia="Arial" w:hAnsi="Arial" w:cs="Arial"/>
        <w:sz w:val="20"/>
        <w:szCs w:val="20"/>
      </w:rPr>
      <w:tab/>
    </w:r>
    <w:r w:rsidR="00A91795">
      <w:rPr>
        <w:rFonts w:ascii="Arial" w:eastAsia="Arial" w:hAnsi="Arial" w:cs="Arial"/>
        <w:sz w:val="20"/>
        <w:szCs w:val="20"/>
      </w:rPr>
      <w:tab/>
      <w:t xml:space="preserve">Reservado </w:t>
    </w:r>
    <w:r w:rsidR="00A91795">
      <w:rPr>
        <w:rFonts w:ascii="Arial" w:eastAsia="Arial" w:hAnsi="Arial" w:cs="Arial"/>
        <w:sz w:val="20"/>
        <w:szCs w:val="20"/>
      </w:rPr>
      <w:tab/>
    </w:r>
    <w:r w:rsidR="00A91795">
      <w:rPr>
        <w:rFonts w:ascii="Arial" w:eastAsia="Arial" w:hAnsi="Arial" w:cs="Arial"/>
        <w:sz w:val="20"/>
        <w:szCs w:val="20"/>
      </w:rPr>
      <w:tab/>
      <w:t xml:space="preserve">   Clasificado</w:t>
    </w:r>
    <w:r w:rsidR="00A91795">
      <w:rPr>
        <w:noProof/>
        <w:lang w:eastAsia="es-CO"/>
      </w:rPr>
      <mc:AlternateContent>
        <mc:Choice Requires="wps">
          <w:drawing>
            <wp:anchor distT="0" distB="0" distL="114300" distR="114300" simplePos="0" relativeHeight="251656704" behindDoc="0" locked="0" layoutInCell="1" hidden="0" allowOverlap="1" wp14:anchorId="3E7A779C" wp14:editId="3E7A779D">
              <wp:simplePos x="0" y="0"/>
              <wp:positionH relativeFrom="column">
                <wp:posOffset>3850805</wp:posOffset>
              </wp:positionH>
              <wp:positionV relativeFrom="paragraph">
                <wp:posOffset>13336</wp:posOffset>
              </wp:positionV>
              <wp:extent cx="150495" cy="142240"/>
              <wp:effectExtent l="0" t="0" r="0" b="0"/>
              <wp:wrapNone/>
              <wp:docPr id="1817792084" name="Rectángulo 1817792084"/>
              <wp:cNvGraphicFramePr/>
              <a:graphic xmlns:a="http://schemas.openxmlformats.org/drawingml/2006/main">
                <a:graphicData uri="http://schemas.microsoft.com/office/word/2010/wordprocessingShape">
                  <wps:wsp>
                    <wps:cNvSpPr/>
                    <wps:spPr>
                      <a:xfrm>
                        <a:off x="5280278" y="3718405"/>
                        <a:ext cx="131445" cy="123190"/>
                      </a:xfrm>
                      <a:prstGeom prst="rect">
                        <a:avLst/>
                      </a:prstGeom>
                      <a:noFill/>
                      <a:ln w="9525" cap="flat" cmpd="sng">
                        <a:solidFill>
                          <a:schemeClr val="dk1"/>
                        </a:solidFill>
                        <a:prstDash val="solid"/>
                        <a:miter lim="800000"/>
                        <a:headEnd type="none" w="sm" len="sm"/>
                        <a:tailEnd type="none" w="sm" len="sm"/>
                      </a:ln>
                    </wps:spPr>
                    <wps:txbx>
                      <w:txbxContent>
                        <w:p w14:paraId="3E7A77A2" w14:textId="77777777" w:rsidR="002E625B" w:rsidRDefault="002E625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7A779C" id="Rectángulo 1817792084" o:spid="_x0000_s1026" style="position:absolute;left:0;text-align:left;margin-left:303.2pt;margin-top:1.05pt;width:11.85pt;height:11.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" filled="f" strokecolor="black [3200]">
              <v:stroke startarrowwidth="narrow" startarrowlength="short" endarrowwidth="narrow" endarrowlength="short"/>
              <v:textbox inset="2.53958mm,2.53958mm,2.53958mm,2.53958mm">
                <w:txbxContent>
                  <w:p w14:paraId="3E7A77A2" w14:textId="77777777" w:rsidR="002E625B" w:rsidRDefault="002E625B">
                    <w:pPr>
                      <w:spacing w:after="0" w:line="240" w:lineRule="auto"/>
                      <w:textDirection w:val="btLr"/>
                    </w:pPr>
                  </w:p>
                </w:txbxContent>
              </v:textbox>
            </v:rect>
          </w:pict>
        </mc:Fallback>
      </mc:AlternateContent>
    </w:r>
    <w:r w:rsidR="00A91795">
      <w:rPr>
        <w:noProof/>
        <w:lang w:eastAsia="es-CO"/>
      </w:rPr>
      <mc:AlternateContent>
        <mc:Choice Requires="wps">
          <w:drawing>
            <wp:anchor distT="0" distB="0" distL="114300" distR="114300" simplePos="0" relativeHeight="251657728" behindDoc="0" locked="0" layoutInCell="1" hidden="0" allowOverlap="1" wp14:anchorId="3E7A779E" wp14:editId="3E7A779F">
              <wp:simplePos x="0" y="0"/>
              <wp:positionH relativeFrom="column">
                <wp:posOffset>5313405</wp:posOffset>
              </wp:positionH>
              <wp:positionV relativeFrom="paragraph">
                <wp:posOffset>12066</wp:posOffset>
              </wp:positionV>
              <wp:extent cx="150495" cy="142240"/>
              <wp:effectExtent l="0" t="0" r="0" b="0"/>
              <wp:wrapNone/>
              <wp:docPr id="1817792085" name="Rectángulo 1817792085"/>
              <wp:cNvGraphicFramePr/>
              <a:graphic xmlns:a="http://schemas.openxmlformats.org/drawingml/2006/main">
                <a:graphicData uri="http://schemas.microsoft.com/office/word/2010/wordprocessingShape">
                  <wps:wsp>
                    <wps:cNvSpPr/>
                    <wps:spPr>
                      <a:xfrm>
                        <a:off x="5280278" y="3718405"/>
                        <a:ext cx="131445" cy="123190"/>
                      </a:xfrm>
                      <a:prstGeom prst="rect">
                        <a:avLst/>
                      </a:prstGeom>
                      <a:noFill/>
                      <a:ln w="9525" cap="flat" cmpd="sng">
                        <a:solidFill>
                          <a:schemeClr val="dk1"/>
                        </a:solidFill>
                        <a:prstDash val="solid"/>
                        <a:miter lim="800000"/>
                        <a:headEnd type="none" w="sm" len="sm"/>
                        <a:tailEnd type="none" w="sm" len="sm"/>
                      </a:ln>
                    </wps:spPr>
                    <wps:txbx>
                      <w:txbxContent>
                        <w:p w14:paraId="3E7A77A3" w14:textId="77777777" w:rsidR="002E625B" w:rsidRDefault="00A91795">
                          <w:pPr>
                            <w:spacing w:line="258" w:lineRule="auto"/>
                            <w:ind w:hanging="2"/>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7A779E" id="Rectángulo 1817792085" o:spid="_x0000_s1027" style="position:absolute;left:0;text-align:left;margin-left:418.4pt;margin-top:.95pt;width:11.85pt;height:11.2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" filled="f" strokecolor="black [3200]">
              <v:stroke startarrowwidth="narrow" startarrowlength="short" endarrowwidth="narrow" endarrowlength="short"/>
              <v:textbox inset="2.53958mm,1.2694mm,2.53958mm,1.2694mm">
                <w:txbxContent>
                  <w:p w14:paraId="3E7A77A3" w14:textId="77777777" w:rsidR="002E625B" w:rsidRDefault="00A91795">
                    <w:pPr>
                      <w:spacing w:line="258" w:lineRule="auto"/>
                      <w:ind w:hanging="2"/>
                      <w:jc w:val="center"/>
                      <w:textDirection w:val="btLr"/>
                    </w:pPr>
                    <w:r>
                      <w:rPr>
                        <w:color w:val="000000"/>
                      </w:rPr>
                      <w:t xml:space="preserve"> </w:t>
                    </w:r>
                  </w:p>
                </w:txbxContent>
              </v:textbox>
            </v:rect>
          </w:pict>
        </mc:Fallback>
      </mc:AlternateContent>
    </w:r>
    <w:r w:rsidR="00A91795">
      <w:rPr>
        <w:noProof/>
        <w:lang w:eastAsia="es-CO"/>
      </w:rPr>
      <mc:AlternateContent>
        <mc:Choice Requires="wps">
          <w:drawing>
            <wp:anchor distT="0" distB="0" distL="114300" distR="114300" simplePos="0" relativeHeight="251658752" behindDoc="0" locked="0" layoutInCell="1" hidden="0" allowOverlap="1" wp14:anchorId="3E7A77A0" wp14:editId="3E7A77A1">
              <wp:simplePos x="0" y="0"/>
              <wp:positionH relativeFrom="column">
                <wp:posOffset>2120625</wp:posOffset>
              </wp:positionH>
              <wp:positionV relativeFrom="paragraph">
                <wp:posOffset>16207</wp:posOffset>
              </wp:positionV>
              <wp:extent cx="150495" cy="142240"/>
              <wp:effectExtent l="0" t="0" r="0" b="0"/>
              <wp:wrapNone/>
              <wp:docPr id="1817792083" name="Rectángulo 1817792083"/>
              <wp:cNvGraphicFramePr/>
              <a:graphic xmlns:a="http://schemas.openxmlformats.org/drawingml/2006/main">
                <a:graphicData uri="http://schemas.microsoft.com/office/word/2010/wordprocessingShape">
                  <wps:wsp>
                    <wps:cNvSpPr/>
                    <wps:spPr>
                      <a:xfrm>
                        <a:off x="5280278" y="3718405"/>
                        <a:ext cx="131445" cy="123190"/>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3E7A77A4" w14:textId="77777777" w:rsidR="002E625B" w:rsidRDefault="00A91795">
                          <w:pPr>
                            <w:spacing w:line="258" w:lineRule="auto"/>
                            <w:ind w:hanging="2"/>
                            <w:jc w:val="center"/>
                            <w:textDirection w:val="btLr"/>
                          </w:pPr>
                          <w:r>
                            <w:rPr>
                              <w:color w:val="000000"/>
                            </w:rPr>
                            <w:t>x</w:t>
                          </w: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7A77A0" id="Rectángulo 1817792083" o:spid="_x0000_s1028" style="position:absolute;left:0;text-align:left;margin-left:167pt;margin-top:1.3pt;width:11.85pt;height:11.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" fillcolor="black [3200]" strokecolor="black [3200]">
              <v:stroke startarrowwidth="narrow" startarrowlength="short" endarrowwidth="narrow" endarrowlength="short"/>
              <v:textbox inset="2.53958mm,1.2694mm,2.53958mm,1.2694mm">
                <w:txbxContent>
                  <w:p w14:paraId="3E7A77A4" w14:textId="77777777" w:rsidR="002E625B" w:rsidRDefault="00A91795">
                    <w:pPr>
                      <w:spacing w:line="258" w:lineRule="auto"/>
                      <w:ind w:hanging="2"/>
                      <w:jc w:val="center"/>
                      <w:textDirection w:val="btLr"/>
                    </w:pPr>
                    <w:r>
                      <w:rPr>
                        <w:color w:val="000000"/>
                      </w:rPr>
                      <w:t>x</w:t>
                    </w:r>
                  </w:p>
                </w:txbxContent>
              </v:textbox>
            </v:rect>
          </w:pict>
        </mc:Fallback>
      </mc:AlternateContent>
    </w:r>
  </w:p>
  <w:p w14:paraId="3E7A7795" w14:textId="77777777" w:rsidR="002E625B" w:rsidRDefault="002E625B">
    <w:pPr>
      <w:pBdr>
        <w:top w:val="nil"/>
        <w:left w:val="nil"/>
        <w:bottom w:val="nil"/>
        <w:right w:val="nil"/>
        <w:between w:val="nil"/>
      </w:pBdr>
      <w:spacing w:line="240" w:lineRule="auto"/>
      <w:ind w:left="-993"/>
      <w:rPr>
        <w:rFonts w:ascii="Arial" w:eastAsia="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7798" w14:textId="77777777" w:rsidR="002E625B" w:rsidRDefault="002E625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0994"/>
    <w:multiLevelType w:val="multilevel"/>
    <w:tmpl w:val="408EDC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EC23B8"/>
    <w:multiLevelType w:val="multilevel"/>
    <w:tmpl w:val="E0B8A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9059D3"/>
    <w:multiLevelType w:val="multilevel"/>
    <w:tmpl w:val="6D2820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680B39"/>
    <w:multiLevelType w:val="multilevel"/>
    <w:tmpl w:val="7B5C0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60544E"/>
    <w:multiLevelType w:val="multilevel"/>
    <w:tmpl w:val="F70E86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7D16A0E"/>
    <w:multiLevelType w:val="multilevel"/>
    <w:tmpl w:val="E7321C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502147DF"/>
    <w:multiLevelType w:val="multilevel"/>
    <w:tmpl w:val="CE6C84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2C80257"/>
    <w:multiLevelType w:val="multilevel"/>
    <w:tmpl w:val="C248C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2527FF6"/>
    <w:multiLevelType w:val="multilevel"/>
    <w:tmpl w:val="9B7C8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AE6544"/>
    <w:multiLevelType w:val="multilevel"/>
    <w:tmpl w:val="7B18E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BE1544"/>
    <w:multiLevelType w:val="multilevel"/>
    <w:tmpl w:val="F6BACF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8"/>
  </w:num>
  <w:num w:numId="3">
    <w:abstractNumId w:val="9"/>
  </w:num>
  <w:num w:numId="4">
    <w:abstractNumId w:val="1"/>
  </w:num>
  <w:num w:numId="5">
    <w:abstractNumId w:val="3"/>
  </w:num>
  <w:num w:numId="6">
    <w:abstractNumId w:val="7"/>
  </w:num>
  <w:num w:numId="7">
    <w:abstractNumId w:val="2"/>
  </w:num>
  <w:num w:numId="8">
    <w:abstractNumId w:val="4"/>
  </w:num>
  <w:num w:numId="9">
    <w:abstractNumId w:val="6"/>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25B"/>
    <w:rsid w:val="00013174"/>
    <w:rsid w:val="002254CD"/>
    <w:rsid w:val="002E625B"/>
    <w:rsid w:val="00505913"/>
    <w:rsid w:val="006862CD"/>
    <w:rsid w:val="006E0647"/>
    <w:rsid w:val="00733DC6"/>
    <w:rsid w:val="007D02A2"/>
    <w:rsid w:val="00807E22"/>
    <w:rsid w:val="008879B1"/>
    <w:rsid w:val="008E68EF"/>
    <w:rsid w:val="009B57D6"/>
    <w:rsid w:val="00A24D47"/>
    <w:rsid w:val="00A41C20"/>
    <w:rsid w:val="00A91795"/>
    <w:rsid w:val="00B2698B"/>
    <w:rsid w:val="00BA1FDB"/>
    <w:rsid w:val="00E37A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7A73F4"/>
  <w15:docId w15:val="{871DFFA7-208A-48D1-B080-8E7EE6591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before="240" w:after="60" w:line="276" w:lineRule="auto"/>
      <w:ind w:left="432" w:hanging="432"/>
      <w:outlineLvl w:val="0"/>
    </w:pPr>
    <w:rPr>
      <w:rFonts w:ascii="Arial" w:eastAsia="Arial" w:hAnsi="Arial" w:cs="Arial"/>
      <w:b/>
      <w:bCs/>
      <w:sz w:val="40"/>
      <w:szCs w:val="40"/>
    </w:rPr>
  </w:style>
  <w:style w:type="paragraph" w:styleId="Ttulo2">
    <w:name w:val="heading 2"/>
    <w:basedOn w:val="Normal"/>
    <w:next w:val="Normal"/>
    <w:uiPriority w:val="9"/>
    <w:unhideWhenUsed/>
    <w:qFormat/>
    <w:pPr>
      <w:keepNext/>
      <w:keepLines/>
      <w:spacing w:before="360" w:after="80" w:line="276" w:lineRule="auto"/>
      <w:ind w:left="1296" w:hanging="1296"/>
      <w:outlineLvl w:val="1"/>
    </w:pPr>
    <w:rPr>
      <w:rFonts w:ascii="Arial" w:eastAsia="Arial" w:hAnsi="Arial" w:cs="Arial"/>
      <w:sz w:val="32"/>
      <w:szCs w:val="32"/>
    </w:rPr>
  </w:style>
  <w:style w:type="paragraph" w:styleId="Ttulo3">
    <w:name w:val="heading 3"/>
    <w:basedOn w:val="Normal"/>
    <w:next w:val="Normal"/>
    <w:uiPriority w:val="9"/>
    <w:semiHidden/>
    <w:unhideWhenUsed/>
    <w:qFormat/>
    <w:pPr>
      <w:keepNext/>
      <w:keepLines/>
      <w:spacing w:before="280" w:after="80"/>
      <w:ind w:left="720" w:hanging="720"/>
      <w:outlineLvl w:val="2"/>
    </w:pPr>
    <w:rPr>
      <w:b/>
      <w:bCs/>
      <w:sz w:val="28"/>
      <w:szCs w:val="28"/>
    </w:rPr>
  </w:style>
  <w:style w:type="paragraph" w:styleId="Ttulo4">
    <w:name w:val="heading 4"/>
    <w:basedOn w:val="Normal"/>
    <w:next w:val="Normal"/>
    <w:uiPriority w:val="9"/>
    <w:semiHidden/>
    <w:unhideWhenUsed/>
    <w:qFormat/>
    <w:pPr>
      <w:keepNext/>
      <w:keepLines/>
      <w:spacing w:before="240" w:after="40"/>
      <w:ind w:left="864" w:hanging="864"/>
      <w:outlineLvl w:val="3"/>
    </w:pPr>
    <w:rPr>
      <w:b/>
      <w:bCs/>
      <w:sz w:val="24"/>
      <w:szCs w:val="24"/>
    </w:rPr>
  </w:style>
  <w:style w:type="paragraph" w:styleId="Ttulo5">
    <w:name w:val="heading 5"/>
    <w:basedOn w:val="Normal"/>
    <w:next w:val="Normal"/>
    <w:uiPriority w:val="9"/>
    <w:semiHidden/>
    <w:unhideWhenUsed/>
    <w:qFormat/>
    <w:pPr>
      <w:keepNext/>
      <w:keepLines/>
      <w:spacing w:before="220" w:after="40"/>
      <w:ind w:left="1008" w:hanging="1008"/>
      <w:outlineLvl w:val="4"/>
    </w:pPr>
    <w:rPr>
      <w:b/>
      <w:bCs/>
    </w:rPr>
  </w:style>
  <w:style w:type="paragraph" w:styleId="Ttulo6">
    <w:name w:val="heading 6"/>
    <w:basedOn w:val="Normal"/>
    <w:next w:val="Normal"/>
    <w:uiPriority w:val="9"/>
    <w:semiHidden/>
    <w:unhideWhenUsed/>
    <w:qFormat/>
    <w:pPr>
      <w:keepNext/>
      <w:keepLines/>
      <w:spacing w:before="200" w:after="40"/>
      <w:ind w:left="1152" w:hanging="1152"/>
      <w:outlineLvl w:val="5"/>
    </w:pPr>
    <w:rPr>
      <w:b/>
      <w:bCs/>
      <w:sz w:val="20"/>
      <w:szCs w:val="20"/>
    </w:rPr>
  </w:style>
  <w:style w:type="paragraph" w:styleId="Ttulo7">
    <w:name w:val="heading 7"/>
    <w:basedOn w:val="Normal"/>
    <w:next w:val="Normal"/>
    <w:link w:val="Ttulo7Car"/>
    <w:uiPriority w:val="9"/>
    <w:semiHidden/>
    <w:unhideWhenUsed/>
    <w:qFormat/>
    <w:rsid w:val="009B2662"/>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9B2662"/>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B2662"/>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00">
    <w:name w:val="TableNormal0"/>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01">
    <w:name w:val="Table 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Encabezado">
    <w:name w:val="header"/>
    <w:basedOn w:val="Normal"/>
    <w:link w:val="EncabezadoCar"/>
    <w:uiPriority w:val="99"/>
    <w:unhideWhenUsed/>
    <w:rsid w:val="001C0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0581"/>
  </w:style>
  <w:style w:type="paragraph" w:styleId="Piedepgina">
    <w:name w:val="footer"/>
    <w:basedOn w:val="Normal"/>
    <w:link w:val="PiedepginaCar"/>
    <w:uiPriority w:val="99"/>
    <w:unhideWhenUsed/>
    <w:rsid w:val="001C0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0581"/>
  </w:style>
  <w:style w:type="paragraph" w:styleId="NormalWeb">
    <w:name w:val="Normal (Web)"/>
    <w:basedOn w:val="Normal"/>
    <w:uiPriority w:val="99"/>
    <w:unhideWhenUsed/>
    <w:rsid w:val="001C05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uiPriority w:val="9"/>
    <w:rsid w:val="00334189"/>
    <w:rPr>
      <w:rFonts w:ascii="Arial" w:eastAsia="Arial" w:hAnsi="Arial" w:cs="Arial"/>
      <w:color w:val="061F57"/>
      <w:sz w:val="52"/>
      <w:szCs w:val="52"/>
      <w:lang w:val="es-ES" w:eastAsia="es-CO"/>
    </w:rPr>
  </w:style>
  <w:style w:type="table" w:customStyle="1" w:styleId="a">
    <w:basedOn w:val="TableNormal3"/>
    <w:pPr>
      <w:spacing w:after="0" w:line="240" w:lineRule="auto"/>
    </w:pPr>
    <w:rPr>
      <w:rFonts w:ascii="Cambria" w:eastAsia="Cambria" w:hAnsi="Cambria" w:cs="Cambria"/>
      <w:color w:val="000000"/>
    </w:rPr>
    <w:tblPr>
      <w:tblStyleRowBandSize w:val="1"/>
      <w:tblStyleColBandSize w:val="1"/>
      <w:tblCellMar>
        <w:top w:w="100" w:type="dxa"/>
        <w:bottom w:w="100" w:type="dxa"/>
      </w:tblCellMar>
    </w:tblPr>
    <w:tcPr>
      <w:shd w:val="clear" w:color="auto" w:fill="D3DFEE"/>
    </w:tcPr>
  </w:style>
  <w:style w:type="table" w:customStyle="1" w:styleId="a0">
    <w:basedOn w:val="TableNormal3"/>
    <w:pPr>
      <w:spacing w:after="0" w:line="240" w:lineRule="auto"/>
    </w:pPr>
    <w:rPr>
      <w:rFonts w:ascii="Cambria" w:eastAsia="Cambria" w:hAnsi="Cambria" w:cs="Cambria"/>
      <w:color w:val="000000"/>
    </w:rPr>
    <w:tblPr>
      <w:tblStyleRowBandSize w:val="1"/>
      <w:tblStyleColBandSize w:val="1"/>
      <w:tblCellMar>
        <w:top w:w="100" w:type="dxa"/>
        <w:bottom w:w="100" w:type="dxa"/>
      </w:tblCellMar>
    </w:tblPr>
    <w:tcPr>
      <w:shd w:val="clear" w:color="auto" w:fill="D3DFEE"/>
    </w:tc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20"/>
    <w:tblPr>
      <w:tblStyleRowBandSize w:val="1"/>
      <w:tblStyleColBandSize w:val="1"/>
      <w:tblCellMar>
        <w:top w:w="100" w:type="dxa"/>
        <w:left w:w="100" w:type="dxa"/>
        <w:bottom w:w="100" w:type="dxa"/>
        <w:right w:w="100" w:type="dxa"/>
      </w:tblCellMar>
    </w:tblPr>
  </w:style>
  <w:style w:type="table" w:customStyle="1" w:styleId="ac">
    <w:basedOn w:val="TableNormal20"/>
    <w:tblPr>
      <w:tblStyleRowBandSize w:val="1"/>
      <w:tblStyleColBandSize w:val="1"/>
      <w:tblCellMar>
        <w:top w:w="100" w:type="dxa"/>
        <w:left w:w="100" w:type="dxa"/>
        <w:bottom w:w="100" w:type="dxa"/>
        <w:right w:w="100" w:type="dxa"/>
      </w:tblCellMar>
    </w:tblPr>
  </w:style>
  <w:style w:type="table" w:customStyle="1" w:styleId="ad">
    <w:basedOn w:val="TableNormal20"/>
    <w:tblPr>
      <w:tblStyleRowBandSize w:val="1"/>
      <w:tblStyleColBandSize w:val="1"/>
      <w:tblCellMar>
        <w:top w:w="100" w:type="dxa"/>
        <w:left w:w="100" w:type="dxa"/>
        <w:bottom w:w="100" w:type="dxa"/>
        <w:right w:w="100" w:type="dxa"/>
      </w:tblCellMar>
    </w:tblPr>
  </w:style>
  <w:style w:type="table" w:customStyle="1" w:styleId="ae">
    <w:basedOn w:val="TableNormal20"/>
    <w:tblPr>
      <w:tblStyleRowBandSize w:val="1"/>
      <w:tblStyleColBandSize w:val="1"/>
      <w:tblCellMar>
        <w:top w:w="100" w:type="dxa"/>
        <w:left w:w="100" w:type="dxa"/>
        <w:bottom w:w="100" w:type="dxa"/>
        <w:right w:w="100" w:type="dxa"/>
      </w:tblCellMar>
    </w:tblPr>
  </w:style>
  <w:style w:type="table" w:customStyle="1" w:styleId="af">
    <w:basedOn w:val="TableNormal20"/>
    <w:tblPr>
      <w:tblStyleRowBandSize w:val="1"/>
      <w:tblStyleColBandSize w:val="1"/>
      <w:tblCellMar>
        <w:top w:w="100" w:type="dxa"/>
        <w:left w:w="100" w:type="dxa"/>
        <w:bottom w:w="100" w:type="dxa"/>
        <w:right w:w="100" w:type="dxa"/>
      </w:tblCellMar>
    </w:tblPr>
  </w:style>
  <w:style w:type="table" w:customStyle="1" w:styleId="af0">
    <w:basedOn w:val="TableNormal20"/>
    <w:tblPr>
      <w:tblStyleRowBandSize w:val="1"/>
      <w:tblStyleColBandSize w:val="1"/>
      <w:tblCellMar>
        <w:top w:w="100" w:type="dxa"/>
        <w:left w:w="100" w:type="dxa"/>
        <w:bottom w:w="100" w:type="dxa"/>
        <w:right w:w="100" w:type="dxa"/>
      </w:tblCellMar>
    </w:tblPr>
  </w:style>
  <w:style w:type="table" w:customStyle="1" w:styleId="af1">
    <w:basedOn w:val="TableNormal20"/>
    <w:tblPr>
      <w:tblStyleRowBandSize w:val="1"/>
      <w:tblStyleColBandSize w:val="1"/>
      <w:tblCellMar>
        <w:top w:w="100" w:type="dxa"/>
        <w:left w:w="100" w:type="dxa"/>
        <w:bottom w:w="100" w:type="dxa"/>
        <w:right w:w="100" w:type="dxa"/>
      </w:tblCellMar>
    </w:tblPr>
  </w:style>
  <w:style w:type="table" w:customStyle="1" w:styleId="af2">
    <w:basedOn w:val="TableNormal20"/>
    <w:tblPr>
      <w:tblStyleRowBandSize w:val="1"/>
      <w:tblStyleColBandSize w:val="1"/>
      <w:tblCellMar>
        <w:top w:w="100" w:type="dxa"/>
        <w:left w:w="100" w:type="dxa"/>
        <w:bottom w:w="100" w:type="dxa"/>
        <w:right w:w="100" w:type="dxa"/>
      </w:tblCellMar>
    </w:tblPr>
  </w:style>
  <w:style w:type="table" w:customStyle="1" w:styleId="af3">
    <w:basedOn w:val="TableNormal20"/>
    <w:tblPr>
      <w:tblStyleRowBandSize w:val="1"/>
      <w:tblStyleColBandSize w:val="1"/>
      <w:tblCellMar>
        <w:top w:w="100" w:type="dxa"/>
        <w:left w:w="100" w:type="dxa"/>
        <w:bottom w:w="100" w:type="dxa"/>
        <w:right w:w="100" w:type="dxa"/>
      </w:tblCellMar>
    </w:tblPr>
  </w:style>
  <w:style w:type="table" w:customStyle="1" w:styleId="af4">
    <w:basedOn w:val="TableNormal20"/>
    <w:tblPr>
      <w:tblStyleRowBandSize w:val="1"/>
      <w:tblStyleColBandSize w:val="1"/>
      <w:tblCellMar>
        <w:top w:w="100" w:type="dxa"/>
        <w:left w:w="100" w:type="dxa"/>
        <w:bottom w:w="100" w:type="dxa"/>
        <w:right w:w="100" w:type="dxa"/>
      </w:tblCellMar>
    </w:tblPr>
  </w:style>
  <w:style w:type="table" w:customStyle="1" w:styleId="af5">
    <w:basedOn w:val="TableNormal20"/>
    <w:tblPr>
      <w:tblStyleRowBandSize w:val="1"/>
      <w:tblStyleColBandSize w:val="1"/>
      <w:tblCellMar>
        <w:top w:w="100" w:type="dxa"/>
        <w:left w:w="100" w:type="dxa"/>
        <w:bottom w:w="100" w:type="dxa"/>
        <w:right w:w="100" w:type="dxa"/>
      </w:tblCellMar>
    </w:tblPr>
  </w:style>
  <w:style w:type="table" w:customStyle="1" w:styleId="af6">
    <w:basedOn w:val="TableNormal20"/>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EF3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86AFE"/>
    <w:rPr>
      <w:b/>
      <w:bCs/>
    </w:rPr>
  </w:style>
  <w:style w:type="paragraph" w:styleId="Prrafodelista">
    <w:name w:val="List Paragraph"/>
    <w:basedOn w:val="Normal"/>
    <w:uiPriority w:val="34"/>
    <w:qFormat/>
    <w:rsid w:val="005E6D9E"/>
    <w:pPr>
      <w:ind w:left="720"/>
      <w:contextualSpacing/>
    </w:pPr>
  </w:style>
  <w:style w:type="table" w:customStyle="1" w:styleId="af7">
    <w:basedOn w:val="TableNormal2"/>
    <w:pPr>
      <w:spacing w:after="0" w:line="240" w:lineRule="auto"/>
    </w:pPr>
    <w:tblPr>
      <w:tblStyleRowBandSize w:val="1"/>
      <w:tblStyleColBandSize w:val="1"/>
      <w:tblCellMar>
        <w:left w:w="108" w:type="dxa"/>
        <w:right w:w="108" w:type="dxa"/>
      </w:tblCellMar>
    </w:tblPr>
  </w:style>
  <w:style w:type="table" w:customStyle="1" w:styleId="af8">
    <w:basedOn w:val="TableNormal2"/>
    <w:tblPr>
      <w:tblStyleRowBandSize w:val="1"/>
      <w:tblStyleColBandSize w:val="1"/>
    </w:tblPr>
  </w:style>
  <w:style w:type="table" w:customStyle="1" w:styleId="af9">
    <w:basedOn w:val="TableNormal2"/>
    <w:pPr>
      <w:spacing w:after="0" w:line="240" w:lineRule="auto"/>
    </w:pPr>
    <w:tblPr>
      <w:tblStyleRowBandSize w:val="1"/>
      <w:tblStyleColBandSize w:val="1"/>
      <w:tblCellMar>
        <w:left w:w="108" w:type="dxa"/>
        <w:right w:w="108" w:type="dxa"/>
      </w:tblCellMar>
    </w:tblPr>
  </w:style>
  <w:style w:type="table" w:customStyle="1" w:styleId="afa">
    <w:basedOn w:val="TableNormal2"/>
    <w:tblPr>
      <w:tblStyleRowBandSize w:val="1"/>
      <w:tblStyleColBandSize w:val="1"/>
    </w:tblPr>
  </w:style>
  <w:style w:type="paragraph" w:styleId="TtuloTDC">
    <w:name w:val="TOC Heading"/>
    <w:next w:val="Normal"/>
    <w:uiPriority w:val="39"/>
    <w:unhideWhenUsed/>
    <w:qFormat/>
    <w:rsid w:val="00F31058"/>
    <w:pPr>
      <w:keepLines/>
      <w:spacing w:after="0"/>
    </w:pPr>
    <w:rPr>
      <w:rFonts w:asciiTheme="majorHAnsi" w:eastAsiaTheme="majorEastAsia" w:hAnsiTheme="majorHAnsi" w:cstheme="majorBidi"/>
      <w:color w:val="2E74B5" w:themeColor="accent1" w:themeShade="BF"/>
      <w:sz w:val="32"/>
      <w:szCs w:val="32"/>
    </w:rPr>
  </w:style>
  <w:style w:type="paragraph" w:styleId="TDC2">
    <w:name w:val="toc 2"/>
    <w:basedOn w:val="Normal"/>
    <w:next w:val="Normal"/>
    <w:autoRedefine/>
    <w:uiPriority w:val="39"/>
    <w:unhideWhenUsed/>
    <w:rsid w:val="00F31058"/>
    <w:pPr>
      <w:spacing w:after="100"/>
      <w:ind w:left="220"/>
    </w:pPr>
    <w:rPr>
      <w:rFonts w:asciiTheme="minorHAnsi" w:eastAsiaTheme="minorEastAsia" w:hAnsiTheme="minorHAnsi" w:cs="Times New Roman"/>
    </w:rPr>
  </w:style>
  <w:style w:type="paragraph" w:styleId="TDC1">
    <w:name w:val="toc 1"/>
    <w:basedOn w:val="Normal"/>
    <w:next w:val="Normal"/>
    <w:uiPriority w:val="39"/>
    <w:unhideWhenUsed/>
    <w:rsid w:val="71EA5239"/>
    <w:pPr>
      <w:spacing w:after="100" w:line="480" w:lineRule="auto"/>
    </w:pPr>
    <w:rPr>
      <w:rFonts w:asciiTheme="minorHAnsi" w:eastAsiaTheme="minorEastAsia" w:hAnsiTheme="minorHAnsi" w:cs="Times New Roman"/>
    </w:rPr>
  </w:style>
  <w:style w:type="paragraph" w:styleId="TDC3">
    <w:name w:val="toc 3"/>
    <w:basedOn w:val="Normal"/>
    <w:next w:val="Normal"/>
    <w:autoRedefine/>
    <w:uiPriority w:val="39"/>
    <w:unhideWhenUsed/>
    <w:rsid w:val="00F31058"/>
    <w:pPr>
      <w:spacing w:after="100"/>
      <w:ind w:left="440"/>
    </w:pPr>
    <w:rPr>
      <w:rFonts w:asciiTheme="minorHAnsi" w:eastAsiaTheme="minorEastAsia" w:hAnsiTheme="minorHAnsi" w:cs="Times New Roman"/>
    </w:rPr>
  </w:style>
  <w:style w:type="character" w:styleId="Hipervnculo">
    <w:name w:val="Hyperlink"/>
    <w:basedOn w:val="Fuentedeprrafopredeter"/>
    <w:uiPriority w:val="99"/>
    <w:unhideWhenUsed/>
    <w:rsid w:val="00B61C10"/>
    <w:rPr>
      <w:color w:val="0563C1" w:themeColor="hyperlink"/>
      <w:u w:val="single"/>
    </w:rPr>
  </w:style>
  <w:style w:type="character" w:styleId="Hipervnculovisitado">
    <w:name w:val="FollowedHyperlink"/>
    <w:basedOn w:val="Fuentedeprrafopredeter"/>
    <w:uiPriority w:val="99"/>
    <w:semiHidden/>
    <w:unhideWhenUsed/>
    <w:rsid w:val="00B81116"/>
    <w:rPr>
      <w:color w:val="0563C1"/>
      <w:u w:val="single"/>
    </w:rPr>
  </w:style>
  <w:style w:type="paragraph" w:customStyle="1" w:styleId="msonormal0">
    <w:name w:val="msonormal"/>
    <w:basedOn w:val="Normal"/>
    <w:rsid w:val="00B811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8111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4">
    <w:name w:val="xl64"/>
    <w:basedOn w:val="Normal"/>
    <w:rsid w:val="00B81116"/>
    <w:pPr>
      <w:pBdr>
        <w:top w:val="single" w:sz="8" w:space="0" w:color="000000"/>
        <w:left w:val="single" w:sz="8" w:space="0" w:color="000000"/>
        <w:right w:val="single" w:sz="8" w:space="0" w:color="000000"/>
      </w:pBdr>
      <w:shd w:val="clear" w:color="FFFFFF"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5">
    <w:name w:val="xl65"/>
    <w:basedOn w:val="Normal"/>
    <w:rsid w:val="00B81116"/>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6">
    <w:name w:val="xl66"/>
    <w:basedOn w:val="Normal"/>
    <w:rsid w:val="00B81116"/>
    <w:pPr>
      <w:pBdr>
        <w:top w:val="single" w:sz="8" w:space="0" w:color="000000"/>
        <w:left w:val="single" w:sz="8" w:space="0" w:color="000000"/>
        <w:right w:val="single" w:sz="8" w:space="0" w:color="000000"/>
      </w:pBdr>
      <w:shd w:val="clear" w:color="FFFFFF"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7">
    <w:name w:val="xl67"/>
    <w:basedOn w:val="Normal"/>
    <w:rsid w:val="00B8111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8">
    <w:name w:val="xl68"/>
    <w:basedOn w:val="Normal"/>
    <w:rsid w:val="00B81116"/>
    <w:pPr>
      <w:pBdr>
        <w:left w:val="single" w:sz="8" w:space="0" w:color="000000"/>
        <w:bottom w:val="single" w:sz="8" w:space="0" w:color="000000"/>
        <w:right w:val="single" w:sz="8" w:space="0" w:color="000000"/>
      </w:pBdr>
      <w:spacing w:before="100" w:beforeAutospacing="1" w:after="100" w:afterAutospacing="1" w:line="240" w:lineRule="auto"/>
    </w:pPr>
    <w:rPr>
      <w:rFonts w:eastAsia="Times New Roman"/>
      <w:sz w:val="24"/>
      <w:szCs w:val="24"/>
    </w:rPr>
  </w:style>
  <w:style w:type="paragraph" w:customStyle="1" w:styleId="xl69">
    <w:name w:val="xl69"/>
    <w:basedOn w:val="Normal"/>
    <w:rsid w:val="00B81116"/>
    <w:pPr>
      <w:pBdr>
        <w:bottom w:val="single" w:sz="8" w:space="0" w:color="000000"/>
      </w:pBdr>
      <w:spacing w:before="100" w:beforeAutospacing="1" w:after="100" w:afterAutospacing="1" w:line="240" w:lineRule="auto"/>
    </w:pPr>
    <w:rPr>
      <w:rFonts w:eastAsia="Times New Roman"/>
      <w:sz w:val="24"/>
      <w:szCs w:val="24"/>
    </w:rPr>
  </w:style>
  <w:style w:type="paragraph" w:customStyle="1" w:styleId="xl70">
    <w:name w:val="xl70"/>
    <w:basedOn w:val="Normal"/>
    <w:rsid w:val="00B81116"/>
    <w:pPr>
      <w:pBdr>
        <w:left w:val="single" w:sz="8" w:space="0" w:color="000000"/>
        <w:bottom w:val="single" w:sz="8" w:space="0" w:color="000000"/>
        <w:right w:val="single" w:sz="4" w:space="0" w:color="000000"/>
      </w:pBdr>
      <w:shd w:val="clear" w:color="DBDADA" w:fill="DBDADA"/>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1">
    <w:name w:val="xl71"/>
    <w:basedOn w:val="Normal"/>
    <w:rsid w:val="00B81116"/>
    <w:pPr>
      <w:pBdr>
        <w:left w:val="single" w:sz="4" w:space="0" w:color="000000"/>
        <w:bottom w:val="single" w:sz="8" w:space="0" w:color="000000"/>
        <w:right w:val="single" w:sz="4" w:space="0" w:color="000000"/>
      </w:pBdr>
      <w:shd w:val="clear" w:color="DBDADA" w:fill="DBDADA"/>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2">
    <w:name w:val="xl72"/>
    <w:basedOn w:val="Normal"/>
    <w:rsid w:val="00B81116"/>
    <w:pPr>
      <w:pBdr>
        <w:left w:val="single" w:sz="4" w:space="0" w:color="000000"/>
        <w:bottom w:val="single" w:sz="8" w:space="0" w:color="000000"/>
        <w:right w:val="single" w:sz="8" w:space="0" w:color="000000"/>
      </w:pBdr>
      <w:shd w:val="clear" w:color="DBDADA" w:fill="DBDADA"/>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3">
    <w:name w:val="xl73"/>
    <w:basedOn w:val="Normal"/>
    <w:rsid w:val="00B81116"/>
    <w:pPr>
      <w:pBdr>
        <w:left w:val="single" w:sz="4" w:space="0" w:color="000000"/>
        <w:bottom w:val="single" w:sz="4" w:space="0" w:color="000000"/>
        <w:right w:val="single" w:sz="4" w:space="0" w:color="000000"/>
      </w:pBdr>
      <w:shd w:val="clear" w:color="E7E6E6" w:fill="E7E6E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4">
    <w:name w:val="xl74"/>
    <w:basedOn w:val="Normal"/>
    <w:rsid w:val="00B81116"/>
    <w:pPr>
      <w:pBdr>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5">
    <w:name w:val="xl75"/>
    <w:basedOn w:val="Normal"/>
    <w:rsid w:val="00B8111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6">
    <w:name w:val="xl76"/>
    <w:basedOn w:val="Normal"/>
    <w:rsid w:val="00B81116"/>
    <w:pPr>
      <w:pBdr>
        <w:top w:val="single" w:sz="8" w:space="0" w:color="000000"/>
        <w:bottom w:val="single" w:sz="8" w:space="0" w:color="000000"/>
        <w:right w:val="single" w:sz="8" w:space="0" w:color="000000"/>
      </w:pBdr>
      <w:spacing w:before="100" w:beforeAutospacing="1" w:after="100" w:afterAutospacing="1" w:line="240" w:lineRule="auto"/>
    </w:pPr>
    <w:rPr>
      <w:rFonts w:eastAsia="Times New Roman"/>
      <w:sz w:val="24"/>
      <w:szCs w:val="24"/>
    </w:rPr>
  </w:style>
  <w:style w:type="paragraph" w:customStyle="1" w:styleId="xl77">
    <w:name w:val="xl77"/>
    <w:basedOn w:val="Normal"/>
    <w:rsid w:val="00B8111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8">
    <w:name w:val="xl78"/>
    <w:basedOn w:val="Normal"/>
    <w:rsid w:val="00B8111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9">
    <w:name w:val="xl79"/>
    <w:basedOn w:val="Normal"/>
    <w:rsid w:val="00B8111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0">
    <w:name w:val="xl80"/>
    <w:basedOn w:val="Normal"/>
    <w:rsid w:val="00B8111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81">
    <w:name w:val="xl81"/>
    <w:basedOn w:val="Normal"/>
    <w:rsid w:val="00B81116"/>
    <w:pP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2">
    <w:name w:val="xl82"/>
    <w:basedOn w:val="Normal"/>
    <w:rsid w:val="00B811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83">
    <w:name w:val="xl83"/>
    <w:basedOn w:val="Normal"/>
    <w:rsid w:val="00B8111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84">
    <w:name w:val="xl84"/>
    <w:basedOn w:val="Normal"/>
    <w:rsid w:val="00B81116"/>
    <w:pPr>
      <w:pBdr>
        <w:top w:val="single" w:sz="8" w:space="0" w:color="000000"/>
      </w:pBdr>
      <w:shd w:val="clear" w:color="FFFFFF"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5">
    <w:name w:val="xl85"/>
    <w:basedOn w:val="Normal"/>
    <w:rsid w:val="00B81116"/>
    <w:pPr>
      <w:pBdr>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6">
    <w:name w:val="xl86"/>
    <w:basedOn w:val="Normal"/>
    <w:rsid w:val="00B811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7">
    <w:name w:val="xl87"/>
    <w:basedOn w:val="Normal"/>
    <w:rsid w:val="00B8111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8">
    <w:name w:val="xl88"/>
    <w:basedOn w:val="Normal"/>
    <w:rsid w:val="00B81116"/>
    <w:pPr>
      <w:shd w:val="clear" w:color="FFFFFF"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9">
    <w:name w:val="xl89"/>
    <w:basedOn w:val="Normal"/>
    <w:rsid w:val="00B81116"/>
    <w:pPr>
      <w:shd w:val="clear" w:color="FFFFFF" w:fill="FFFFFF"/>
      <w:spacing w:before="100" w:beforeAutospacing="1" w:after="100" w:afterAutospacing="1" w:line="240" w:lineRule="auto"/>
      <w:jc w:val="center"/>
    </w:pPr>
    <w:rPr>
      <w:rFonts w:ascii="Arial" w:eastAsia="Times New Roman" w:hAnsi="Arial" w:cs="Arial"/>
      <w:sz w:val="24"/>
      <w:szCs w:val="24"/>
    </w:rPr>
  </w:style>
  <w:style w:type="paragraph" w:customStyle="1" w:styleId="xl90">
    <w:name w:val="xl90"/>
    <w:basedOn w:val="Normal"/>
    <w:rsid w:val="00B81116"/>
    <w:pPr>
      <w:pBdr>
        <w:top w:val="single" w:sz="8" w:space="0" w:color="000000"/>
      </w:pBdr>
      <w:shd w:val="clear" w:color="FFFFFF"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1">
    <w:name w:val="xl91"/>
    <w:basedOn w:val="Normal"/>
    <w:rsid w:val="00B81116"/>
    <w:pPr>
      <w:pBdr>
        <w:top w:val="single" w:sz="8" w:space="0" w:color="000000"/>
        <w:bottom w:val="single" w:sz="8" w:space="0" w:color="000000"/>
      </w:pBdr>
      <w:spacing w:before="100" w:beforeAutospacing="1" w:after="100" w:afterAutospacing="1" w:line="240" w:lineRule="auto"/>
    </w:pPr>
    <w:rPr>
      <w:rFonts w:eastAsia="Times New Roman"/>
      <w:sz w:val="24"/>
      <w:szCs w:val="24"/>
    </w:rPr>
  </w:style>
  <w:style w:type="paragraph" w:customStyle="1" w:styleId="xl92">
    <w:name w:val="xl92"/>
    <w:basedOn w:val="Normal"/>
    <w:rsid w:val="00B81116"/>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B81116"/>
    <w:pP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4">
    <w:name w:val="xl94"/>
    <w:basedOn w:val="Normal"/>
    <w:rsid w:val="00B81116"/>
    <w:pPr>
      <w:shd w:val="clear" w:color="FFFFFF"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5">
    <w:name w:val="xl95"/>
    <w:basedOn w:val="Normal"/>
    <w:rsid w:val="00B8111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6">
    <w:name w:val="xl96"/>
    <w:basedOn w:val="Normal"/>
    <w:rsid w:val="00B81116"/>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97">
    <w:name w:val="xl97"/>
    <w:basedOn w:val="Normal"/>
    <w:rsid w:val="00B81116"/>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8">
    <w:name w:val="xl98"/>
    <w:basedOn w:val="Normal"/>
    <w:rsid w:val="00B81116"/>
    <w:pPr>
      <w:pBdr>
        <w:left w:val="single" w:sz="4" w:space="0" w:color="000000"/>
        <w:bottom w:val="single" w:sz="4" w:space="0" w:color="000000"/>
        <w:right w:val="single" w:sz="4" w:space="0" w:color="000000"/>
      </w:pBdr>
      <w:shd w:val="clear" w:color="E7E6E6" w:fill="FFFF0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9">
    <w:name w:val="xl99"/>
    <w:basedOn w:val="Normal"/>
    <w:rsid w:val="00B81116"/>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0">
    <w:name w:val="xl100"/>
    <w:basedOn w:val="Normal"/>
    <w:rsid w:val="00B81116"/>
    <w:pPr>
      <w:pBdr>
        <w:left w:val="single" w:sz="4" w:space="0" w:color="000000"/>
        <w:bottom w:val="single" w:sz="4" w:space="0" w:color="000000"/>
        <w:right w:val="single" w:sz="4" w:space="0" w:color="000000"/>
      </w:pBdr>
      <w:shd w:val="clear" w:color="FFFFFF" w:fill="FFFF0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1">
    <w:name w:val="xl101"/>
    <w:basedOn w:val="Normal"/>
    <w:rsid w:val="00B8111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2">
    <w:name w:val="xl102"/>
    <w:basedOn w:val="Normal"/>
    <w:rsid w:val="00B81116"/>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B81116"/>
    <w:pPr>
      <w:pBdr>
        <w:top w:val="single" w:sz="8" w:space="0" w:color="000000"/>
        <w:left w:val="single" w:sz="4" w:space="0" w:color="000000"/>
        <w:bottom w:val="single" w:sz="8"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04">
    <w:name w:val="xl104"/>
    <w:basedOn w:val="Normal"/>
    <w:rsid w:val="00B81116"/>
    <w:pPr>
      <w:pBdr>
        <w:top w:val="single" w:sz="4" w:space="0" w:color="000000"/>
        <w:left w:val="single" w:sz="4" w:space="0" w:color="000000"/>
      </w:pBdr>
      <w:shd w:val="clear" w:color="FFFFFF"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5">
    <w:name w:val="xl105"/>
    <w:basedOn w:val="Normal"/>
    <w:rsid w:val="00B81116"/>
    <w:pPr>
      <w:pBdr>
        <w:top w:val="single" w:sz="4" w:space="0" w:color="000000"/>
      </w:pBdr>
      <w:spacing w:before="100" w:beforeAutospacing="1" w:after="100" w:afterAutospacing="1" w:line="240" w:lineRule="auto"/>
    </w:pPr>
    <w:rPr>
      <w:rFonts w:eastAsia="Times New Roman"/>
      <w:sz w:val="24"/>
      <w:szCs w:val="24"/>
    </w:rPr>
  </w:style>
  <w:style w:type="paragraph" w:customStyle="1" w:styleId="xl106">
    <w:name w:val="xl106"/>
    <w:basedOn w:val="Normal"/>
    <w:rsid w:val="00B81116"/>
    <w:pPr>
      <w:pBdr>
        <w:top w:val="single" w:sz="4" w:space="0" w:color="000000"/>
        <w:right w:val="single" w:sz="4" w:space="0" w:color="000000"/>
      </w:pBdr>
      <w:spacing w:before="100" w:beforeAutospacing="1" w:after="100" w:afterAutospacing="1" w:line="240" w:lineRule="auto"/>
    </w:pPr>
    <w:rPr>
      <w:rFonts w:eastAsia="Times New Roman"/>
      <w:sz w:val="24"/>
      <w:szCs w:val="24"/>
    </w:rPr>
  </w:style>
  <w:style w:type="paragraph" w:customStyle="1" w:styleId="xl107">
    <w:name w:val="xl107"/>
    <w:basedOn w:val="Normal"/>
    <w:rsid w:val="00B81116"/>
    <w:pPr>
      <w:pBdr>
        <w:top w:val="single" w:sz="8" w:space="0" w:color="000000"/>
        <w:left w:val="single" w:sz="8" w:space="0" w:color="000000"/>
        <w:bottom w:val="single" w:sz="8" w:space="0" w:color="000000"/>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08">
    <w:name w:val="xl108"/>
    <w:basedOn w:val="Normal"/>
    <w:rsid w:val="00B81116"/>
    <w:pPr>
      <w:pBdr>
        <w:top w:val="single" w:sz="8" w:space="0" w:color="000000"/>
        <w:bottom w:val="single" w:sz="8" w:space="0" w:color="000000"/>
        <w:right w:val="single" w:sz="4" w:space="0" w:color="000000"/>
      </w:pBdr>
      <w:spacing w:before="100" w:beforeAutospacing="1" w:after="100" w:afterAutospacing="1" w:line="240" w:lineRule="auto"/>
    </w:pPr>
    <w:rPr>
      <w:rFonts w:eastAsia="Times New Roman"/>
      <w:sz w:val="24"/>
      <w:szCs w:val="24"/>
    </w:rPr>
  </w:style>
  <w:style w:type="paragraph" w:customStyle="1" w:styleId="xl109">
    <w:name w:val="xl109"/>
    <w:basedOn w:val="Normal"/>
    <w:rsid w:val="00B81116"/>
    <w:pPr>
      <w:pBdr>
        <w:top w:val="single" w:sz="8" w:space="0" w:color="000000"/>
        <w:left w:val="single" w:sz="8" w:space="0" w:color="000000"/>
        <w:bottom w:val="single" w:sz="8"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0">
    <w:name w:val="xl110"/>
    <w:basedOn w:val="Normal"/>
    <w:rsid w:val="00B81116"/>
    <w:pPr>
      <w:pBdr>
        <w:top w:val="single" w:sz="8" w:space="0" w:color="000000"/>
        <w:bottom w:val="single" w:sz="8" w:space="0" w:color="000000"/>
      </w:pBdr>
      <w:spacing w:before="100" w:beforeAutospacing="1" w:after="100" w:afterAutospacing="1" w:line="240" w:lineRule="auto"/>
      <w:jc w:val="center"/>
    </w:pPr>
    <w:rPr>
      <w:rFonts w:ascii="Arial" w:eastAsia="Times New Roman" w:hAnsi="Arial" w:cs="Arial"/>
      <w:sz w:val="24"/>
      <w:szCs w:val="24"/>
    </w:rPr>
  </w:style>
  <w:style w:type="table" w:customStyle="1" w:styleId="afb">
    <w:basedOn w:val="TableNormal1"/>
    <w:tblPr>
      <w:tblStyleRowBandSize w:val="1"/>
      <w:tblStyleColBandSize w:val="1"/>
      <w:tblCellMar>
        <w:top w:w="0" w:type="dxa"/>
        <w:left w:w="70" w:type="dxa"/>
        <w:bottom w:w="0" w:type="dxa"/>
        <w:right w:w="70" w:type="dxa"/>
      </w:tblCellMar>
    </w:tblPr>
  </w:style>
  <w:style w:type="table" w:customStyle="1" w:styleId="afc">
    <w:basedOn w:val="TableNormal1"/>
    <w:tblPr>
      <w:tblStyleRowBandSize w:val="1"/>
      <w:tblStyleColBandSize w:val="1"/>
      <w:tblCellMar>
        <w:top w:w="0" w:type="dxa"/>
        <w:left w:w="70" w:type="dxa"/>
        <w:bottom w:w="0" w:type="dxa"/>
        <w:right w:w="70" w:type="dxa"/>
      </w:tblCellMar>
    </w:tbl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Ttulo7Car">
    <w:name w:val="Título 7 Car"/>
    <w:basedOn w:val="Fuentedeprrafopredeter"/>
    <w:link w:val="Ttulo7"/>
    <w:uiPriority w:val="9"/>
    <w:semiHidden/>
    <w:rsid w:val="009B266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9B266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B2662"/>
    <w:rPr>
      <w:rFonts w:asciiTheme="majorHAnsi" w:eastAsiaTheme="majorEastAsia" w:hAnsiTheme="majorHAnsi" w:cstheme="majorBidi"/>
      <w:i/>
      <w:iCs/>
      <w:color w:val="272727" w:themeColor="text1" w:themeTint="D8"/>
      <w:sz w:val="21"/>
      <w:szCs w:val="21"/>
    </w:rPr>
  </w:style>
  <w:style w:type="character" w:customStyle="1" w:styleId="Ttulo2Car">
    <w:name w:val="Título 2 Car"/>
    <w:basedOn w:val="Fuentedeprrafopredeter"/>
    <w:uiPriority w:val="9"/>
    <w:rsid w:val="00225E4F"/>
    <w:rPr>
      <w:rFonts w:ascii="Arial" w:eastAsia="Arial" w:hAnsi="Arial" w:cs="Arial"/>
      <w:bCs/>
      <w:sz w:val="32"/>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70" w:type="dxa"/>
        <w:bottom w:w="0" w:type="dxa"/>
        <w:right w:w="70" w:type="dxa"/>
      </w:tblCellMar>
    </w:tblPr>
  </w:style>
  <w:style w:type="table" w:customStyle="1" w:styleId="aff2">
    <w:basedOn w:val="TableNormal0"/>
    <w:tblPr>
      <w:tblStyleRowBandSize w:val="1"/>
      <w:tblStyleColBandSize w:val="1"/>
      <w:tblCellMar>
        <w:top w:w="0" w:type="dxa"/>
        <w:left w:w="70" w:type="dxa"/>
        <w:bottom w:w="0" w:type="dxa"/>
        <w:right w:w="70"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72+YWJoU2mJklIlg7jPwOMmKg==">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6B2F63-C6E9-4ABB-A34D-1D0D2F9AD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4986</Words>
  <Characters>27426</Characters>
  <Application>Microsoft Office Word</Application>
  <DocSecurity>0</DocSecurity>
  <Lines>228</Lines>
  <Paragraphs>64</Paragraphs>
  <ScaleCrop>false</ScaleCrop>
  <Company/>
  <LinksUpToDate>false</LinksUpToDate>
  <CharactersWithSpaces>32348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Cristina Castillo Iregui</dc:creator>
  <cp:lastModifiedBy>Andrea Navarro Lara</cp:lastModifiedBy>
  <cp:revision>13</cp:revision>
  <dcterms:created xsi:type="dcterms:W3CDTF">2025-12-16T15:55:00Z</dcterms:created>
  <dcterms:modified xsi:type="dcterms:W3CDTF">2026-01-29T16:32:00Z</dcterms:modified>
</cp:coreProperties>
</file>