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4FEE" w:rsidRDefault="00D47725">
      <w:pPr>
        <w:widowControl w:val="0"/>
        <w:pBdr>
          <w:top w:val="nil"/>
          <w:left w:val="nil"/>
          <w:bottom w:val="nil"/>
          <w:right w:val="nil"/>
          <w:between w:val="nil"/>
        </w:pBdr>
        <w:spacing w:after="0" w:line="276" w:lineRule="auto"/>
      </w:pPr>
      <w:r>
        <w:pict w14:anchorId="31063F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0pt;height:50pt;z-index:251657728;visibility:hidden">
            <o:lock v:ext="edit" selection="t"/>
          </v:shape>
        </w:pict>
      </w:r>
    </w:p>
    <w:p w:rsidR="00554FEE" w:rsidRDefault="00554FEE">
      <w:pPr>
        <w:spacing w:after="0" w:line="240" w:lineRule="auto"/>
        <w:rPr>
          <w:rFonts w:ascii="Arial" w:eastAsia="Arial" w:hAnsi="Arial" w:cs="Arial"/>
          <w:b/>
          <w:bCs/>
          <w:sz w:val="24"/>
          <w:szCs w:val="24"/>
        </w:rPr>
      </w:pPr>
      <w:bookmarkStart w:id="0" w:name="_heading=h.z9ii6j8q9duj" w:colFirst="0" w:colLast="0"/>
      <w:bookmarkEnd w:id="0"/>
    </w:p>
    <w:p w:rsidR="00554FEE" w:rsidRDefault="00554FEE">
      <w:pPr>
        <w:spacing w:after="0" w:line="240" w:lineRule="auto"/>
        <w:rPr>
          <w:rFonts w:ascii="Arial" w:eastAsia="Arial" w:hAnsi="Arial" w:cs="Arial"/>
          <w:b/>
          <w:bCs/>
          <w:sz w:val="24"/>
          <w:szCs w:val="24"/>
        </w:rPr>
      </w:pPr>
      <w:bookmarkStart w:id="1" w:name="_heading=h.bsii72soo2md" w:colFirst="0" w:colLast="0"/>
      <w:bookmarkEnd w:id="1"/>
    </w:p>
    <w:p w:rsidR="00554FEE" w:rsidRDefault="00554FEE">
      <w:pPr>
        <w:spacing w:after="0" w:line="240" w:lineRule="auto"/>
        <w:rPr>
          <w:rFonts w:ascii="Arial" w:eastAsia="Arial" w:hAnsi="Arial" w:cs="Arial"/>
          <w:b/>
          <w:bCs/>
          <w:sz w:val="24"/>
          <w:szCs w:val="24"/>
        </w:rPr>
      </w:pPr>
      <w:bookmarkStart w:id="2" w:name="_heading=h.k020hsjvxih6" w:colFirst="0" w:colLast="0"/>
      <w:bookmarkEnd w:id="2"/>
    </w:p>
    <w:p w:rsidR="00554FEE" w:rsidRDefault="00554FEE">
      <w:pPr>
        <w:spacing w:after="0" w:line="240" w:lineRule="auto"/>
        <w:rPr>
          <w:rFonts w:ascii="Arial" w:eastAsia="Arial" w:hAnsi="Arial" w:cs="Arial"/>
          <w:b/>
          <w:bCs/>
          <w:sz w:val="24"/>
          <w:szCs w:val="24"/>
        </w:rPr>
      </w:pPr>
      <w:bookmarkStart w:id="3" w:name="_heading=h.ux4yx7u1xtd9" w:colFirst="0" w:colLast="0"/>
      <w:bookmarkEnd w:id="3"/>
    </w:p>
    <w:p w:rsidR="00554FEE" w:rsidRDefault="00554FEE">
      <w:pPr>
        <w:spacing w:after="0" w:line="240" w:lineRule="auto"/>
        <w:rPr>
          <w:rFonts w:ascii="Arial" w:eastAsia="Arial" w:hAnsi="Arial" w:cs="Arial"/>
          <w:b/>
          <w:bCs/>
          <w:sz w:val="24"/>
          <w:szCs w:val="24"/>
        </w:rPr>
      </w:pPr>
      <w:bookmarkStart w:id="4" w:name="_heading=h.ybevazt4mh74" w:colFirst="0" w:colLast="0"/>
      <w:bookmarkEnd w:id="4"/>
    </w:p>
    <w:p w:rsidR="00554FEE" w:rsidRDefault="00554FEE">
      <w:pPr>
        <w:spacing w:after="0" w:line="240" w:lineRule="auto"/>
        <w:rPr>
          <w:rFonts w:ascii="Arial" w:eastAsia="Arial" w:hAnsi="Arial" w:cs="Arial"/>
          <w:b/>
          <w:bCs/>
          <w:sz w:val="24"/>
          <w:szCs w:val="24"/>
        </w:rPr>
      </w:pPr>
      <w:bookmarkStart w:id="5" w:name="_heading=h.dl011p7pl712" w:colFirst="0" w:colLast="0"/>
      <w:bookmarkEnd w:id="5"/>
    </w:p>
    <w:p w:rsidR="00554FEE" w:rsidRDefault="00554FEE">
      <w:pPr>
        <w:spacing w:after="0" w:line="240" w:lineRule="auto"/>
        <w:rPr>
          <w:rFonts w:ascii="Arial" w:eastAsia="Arial" w:hAnsi="Arial" w:cs="Arial"/>
          <w:b/>
          <w:bCs/>
          <w:sz w:val="24"/>
          <w:szCs w:val="24"/>
        </w:rPr>
      </w:pPr>
      <w:bookmarkStart w:id="6" w:name="_heading=h.p7zy7dfjtpsn" w:colFirst="0" w:colLast="0"/>
      <w:bookmarkEnd w:id="6"/>
    </w:p>
    <w:p w:rsidR="00554FEE" w:rsidRDefault="00554FEE">
      <w:pPr>
        <w:spacing w:after="0" w:line="240" w:lineRule="auto"/>
        <w:rPr>
          <w:rFonts w:ascii="Arial" w:eastAsia="Arial" w:hAnsi="Arial" w:cs="Arial"/>
          <w:b/>
          <w:bCs/>
          <w:sz w:val="24"/>
          <w:szCs w:val="24"/>
        </w:rPr>
      </w:pPr>
      <w:bookmarkStart w:id="7" w:name="_heading=h.vevzfx9ezu8m" w:colFirst="0" w:colLast="0"/>
      <w:bookmarkEnd w:id="7"/>
    </w:p>
    <w:p w:rsidR="00554FEE" w:rsidRDefault="00554FEE">
      <w:pPr>
        <w:spacing w:after="0" w:line="240" w:lineRule="auto"/>
        <w:rPr>
          <w:rFonts w:ascii="Arial" w:eastAsia="Arial" w:hAnsi="Arial" w:cs="Arial"/>
          <w:b/>
          <w:bCs/>
          <w:sz w:val="24"/>
          <w:szCs w:val="24"/>
        </w:rPr>
      </w:pPr>
      <w:bookmarkStart w:id="8" w:name="_heading=h.dt1hag9wqlj9" w:colFirst="0" w:colLast="0"/>
      <w:bookmarkEnd w:id="8"/>
    </w:p>
    <w:p w:rsidR="00554FEE" w:rsidRDefault="00554FEE">
      <w:pPr>
        <w:spacing w:after="0" w:line="240" w:lineRule="auto"/>
        <w:rPr>
          <w:rFonts w:ascii="Arial" w:eastAsia="Arial" w:hAnsi="Arial" w:cs="Arial"/>
          <w:b/>
          <w:bCs/>
          <w:sz w:val="24"/>
          <w:szCs w:val="24"/>
        </w:rPr>
      </w:pPr>
      <w:bookmarkStart w:id="9" w:name="_heading=h.4nftvz51trid" w:colFirst="0" w:colLast="0"/>
      <w:bookmarkEnd w:id="9"/>
    </w:p>
    <w:p w:rsidR="00554FEE" w:rsidRDefault="00554FEE">
      <w:pPr>
        <w:spacing w:after="0" w:line="240" w:lineRule="auto"/>
        <w:rPr>
          <w:rFonts w:ascii="Arial" w:eastAsia="Arial" w:hAnsi="Arial" w:cs="Arial"/>
          <w:b/>
          <w:bCs/>
          <w:sz w:val="24"/>
          <w:szCs w:val="24"/>
        </w:rPr>
      </w:pPr>
      <w:bookmarkStart w:id="10" w:name="_heading=h.lmlxg4kkn8um" w:colFirst="0" w:colLast="0"/>
      <w:bookmarkEnd w:id="10"/>
    </w:p>
    <w:p w:rsidR="00554FEE" w:rsidRDefault="00554FEE">
      <w:pPr>
        <w:spacing w:after="0" w:line="240" w:lineRule="auto"/>
        <w:rPr>
          <w:rFonts w:ascii="Arial" w:eastAsia="Arial" w:hAnsi="Arial" w:cs="Arial"/>
          <w:b/>
          <w:bCs/>
          <w:sz w:val="24"/>
          <w:szCs w:val="24"/>
        </w:rPr>
      </w:pPr>
      <w:bookmarkStart w:id="11" w:name="_heading=h.w23v1e5jems3" w:colFirst="0" w:colLast="0"/>
      <w:bookmarkEnd w:id="11"/>
    </w:p>
    <w:p w:rsidR="00554FEE" w:rsidRDefault="00554FEE">
      <w:pPr>
        <w:spacing w:after="0" w:line="240" w:lineRule="auto"/>
        <w:rPr>
          <w:rFonts w:ascii="Arial" w:eastAsia="Arial" w:hAnsi="Arial" w:cs="Arial"/>
          <w:b/>
          <w:bCs/>
          <w:sz w:val="24"/>
          <w:szCs w:val="24"/>
        </w:rPr>
      </w:pPr>
      <w:bookmarkStart w:id="12" w:name="_heading=h.45uj10mp1m9f" w:colFirst="0" w:colLast="0"/>
      <w:bookmarkEnd w:id="12"/>
    </w:p>
    <w:p w:rsidR="00554FEE" w:rsidRDefault="00554FEE">
      <w:pPr>
        <w:spacing w:after="0" w:line="240" w:lineRule="auto"/>
        <w:rPr>
          <w:rFonts w:ascii="Arial" w:eastAsia="Arial" w:hAnsi="Arial" w:cs="Arial"/>
          <w:b/>
          <w:bCs/>
          <w:sz w:val="24"/>
          <w:szCs w:val="24"/>
        </w:rPr>
      </w:pPr>
      <w:bookmarkStart w:id="13" w:name="_heading=h.6uctxid6ma2u" w:colFirst="0" w:colLast="0"/>
      <w:bookmarkEnd w:id="13"/>
    </w:p>
    <w:p w:rsidR="00554FEE" w:rsidRDefault="00554FEE">
      <w:pPr>
        <w:spacing w:after="0" w:line="240" w:lineRule="auto"/>
        <w:rPr>
          <w:rFonts w:ascii="Arial" w:eastAsia="Arial" w:hAnsi="Arial" w:cs="Arial"/>
          <w:b/>
          <w:bCs/>
          <w:sz w:val="24"/>
          <w:szCs w:val="24"/>
        </w:rPr>
      </w:pPr>
      <w:bookmarkStart w:id="14" w:name="_heading=h.fs9udxir3kxf" w:colFirst="0" w:colLast="0"/>
      <w:bookmarkEnd w:id="14"/>
    </w:p>
    <w:p w:rsidR="00554FEE" w:rsidRDefault="00554FEE">
      <w:pPr>
        <w:spacing w:after="0" w:line="240" w:lineRule="auto"/>
        <w:rPr>
          <w:rFonts w:ascii="Arial" w:eastAsia="Arial" w:hAnsi="Arial" w:cs="Arial"/>
          <w:b/>
          <w:bCs/>
          <w:sz w:val="24"/>
          <w:szCs w:val="24"/>
        </w:rPr>
      </w:pPr>
      <w:bookmarkStart w:id="15" w:name="_heading=h.spd4qak7dezp" w:colFirst="0" w:colLast="0"/>
      <w:bookmarkEnd w:id="15"/>
    </w:p>
    <w:p w:rsidR="00554FEE" w:rsidRDefault="00554FEE">
      <w:pPr>
        <w:spacing w:after="0" w:line="240" w:lineRule="auto"/>
        <w:rPr>
          <w:rFonts w:ascii="Arial" w:eastAsia="Arial" w:hAnsi="Arial" w:cs="Arial"/>
          <w:b/>
          <w:bCs/>
          <w:sz w:val="24"/>
          <w:szCs w:val="24"/>
        </w:rPr>
      </w:pPr>
      <w:bookmarkStart w:id="16" w:name="_heading=h.un5ifdckemdn" w:colFirst="0" w:colLast="0"/>
      <w:bookmarkEnd w:id="16"/>
    </w:p>
    <w:p w:rsidR="00554FEE" w:rsidRDefault="00554FEE">
      <w:pPr>
        <w:spacing w:after="0" w:line="240" w:lineRule="auto"/>
        <w:rPr>
          <w:rFonts w:ascii="Arial" w:eastAsia="Arial" w:hAnsi="Arial" w:cs="Arial"/>
          <w:b/>
          <w:bCs/>
          <w:sz w:val="24"/>
          <w:szCs w:val="24"/>
        </w:rPr>
      </w:pPr>
      <w:bookmarkStart w:id="17" w:name="_heading=h.7uu8xgnnwtq0" w:colFirst="0" w:colLast="0"/>
      <w:bookmarkEnd w:id="17"/>
    </w:p>
    <w:p w:rsidR="00554FEE" w:rsidRDefault="00554FEE">
      <w:pPr>
        <w:spacing w:after="0" w:line="240" w:lineRule="auto"/>
        <w:rPr>
          <w:rFonts w:ascii="Arial" w:eastAsia="Arial" w:hAnsi="Arial" w:cs="Arial"/>
          <w:b/>
          <w:bCs/>
          <w:sz w:val="24"/>
          <w:szCs w:val="24"/>
        </w:rPr>
      </w:pPr>
      <w:bookmarkStart w:id="18" w:name="_heading=h.vdpg1mldyc8j" w:colFirst="0" w:colLast="0"/>
      <w:bookmarkEnd w:id="18"/>
    </w:p>
    <w:p w:rsidR="00554FEE" w:rsidRDefault="00554FEE">
      <w:pPr>
        <w:spacing w:after="0" w:line="240" w:lineRule="auto"/>
        <w:rPr>
          <w:rFonts w:ascii="Arial" w:eastAsia="Arial" w:hAnsi="Arial" w:cs="Arial"/>
          <w:b/>
          <w:bCs/>
          <w:sz w:val="24"/>
          <w:szCs w:val="24"/>
        </w:rPr>
      </w:pPr>
      <w:bookmarkStart w:id="19" w:name="_heading=h.k8spnn8imu9k" w:colFirst="0" w:colLast="0"/>
      <w:bookmarkEnd w:id="19"/>
    </w:p>
    <w:p w:rsidR="00554FEE" w:rsidRDefault="00554FEE">
      <w:pPr>
        <w:spacing w:after="0" w:line="240" w:lineRule="auto"/>
        <w:rPr>
          <w:rFonts w:ascii="Arial" w:eastAsia="Arial" w:hAnsi="Arial" w:cs="Arial"/>
          <w:b/>
          <w:bCs/>
          <w:sz w:val="24"/>
          <w:szCs w:val="24"/>
        </w:rPr>
      </w:pPr>
      <w:bookmarkStart w:id="20" w:name="_heading=h.txbm9d7wpsj6" w:colFirst="0" w:colLast="0"/>
      <w:bookmarkEnd w:id="20"/>
    </w:p>
    <w:p w:rsidR="00554FEE" w:rsidRDefault="00554FEE">
      <w:pPr>
        <w:spacing w:after="0" w:line="240" w:lineRule="auto"/>
        <w:rPr>
          <w:rFonts w:ascii="Arial" w:eastAsia="Arial" w:hAnsi="Arial" w:cs="Arial"/>
          <w:b/>
          <w:bCs/>
          <w:sz w:val="24"/>
          <w:szCs w:val="24"/>
        </w:rPr>
      </w:pPr>
      <w:bookmarkStart w:id="21" w:name="_heading=h.ws2jnshm0l9c" w:colFirst="0" w:colLast="0"/>
      <w:bookmarkEnd w:id="21"/>
    </w:p>
    <w:p w:rsidR="00554FEE" w:rsidRDefault="00554FEE">
      <w:pPr>
        <w:spacing w:after="0" w:line="240" w:lineRule="auto"/>
        <w:rPr>
          <w:rFonts w:ascii="Arial" w:eastAsia="Arial" w:hAnsi="Arial" w:cs="Arial"/>
          <w:b/>
          <w:bCs/>
          <w:sz w:val="24"/>
          <w:szCs w:val="24"/>
        </w:rPr>
      </w:pPr>
      <w:bookmarkStart w:id="22" w:name="_heading=h.xm8qcqixaej6" w:colFirst="0" w:colLast="0"/>
      <w:bookmarkEnd w:id="22"/>
    </w:p>
    <w:p w:rsidR="00554FEE" w:rsidRDefault="00554FEE">
      <w:pPr>
        <w:spacing w:after="0" w:line="240" w:lineRule="auto"/>
        <w:rPr>
          <w:rFonts w:ascii="Arial" w:eastAsia="Arial" w:hAnsi="Arial" w:cs="Arial"/>
          <w:b/>
          <w:bCs/>
          <w:sz w:val="24"/>
          <w:szCs w:val="24"/>
        </w:rPr>
      </w:pPr>
      <w:bookmarkStart w:id="23" w:name="_heading=h.uhgujv94sicl" w:colFirst="0" w:colLast="0"/>
      <w:bookmarkEnd w:id="23"/>
    </w:p>
    <w:p w:rsidR="00554FEE" w:rsidRDefault="00554FEE">
      <w:pPr>
        <w:spacing w:after="0" w:line="240" w:lineRule="auto"/>
        <w:rPr>
          <w:rFonts w:ascii="Arial" w:eastAsia="Arial" w:hAnsi="Arial" w:cs="Arial"/>
          <w:b/>
          <w:bCs/>
          <w:sz w:val="24"/>
          <w:szCs w:val="24"/>
        </w:rPr>
      </w:pPr>
      <w:bookmarkStart w:id="24" w:name="_heading=h.ak68d8f2ve0n" w:colFirst="0" w:colLast="0"/>
      <w:bookmarkEnd w:id="24"/>
    </w:p>
    <w:p w:rsidR="00554FEE" w:rsidRDefault="00554FEE">
      <w:pPr>
        <w:spacing w:after="0" w:line="240" w:lineRule="auto"/>
        <w:rPr>
          <w:rFonts w:ascii="Arial" w:eastAsia="Arial" w:hAnsi="Arial" w:cs="Arial"/>
          <w:b/>
          <w:bCs/>
          <w:sz w:val="24"/>
          <w:szCs w:val="24"/>
        </w:rPr>
      </w:pPr>
      <w:bookmarkStart w:id="25" w:name="_heading=h.s8nyzldlurni" w:colFirst="0" w:colLast="0"/>
      <w:bookmarkEnd w:id="25"/>
    </w:p>
    <w:p w:rsidR="00554FEE" w:rsidRDefault="00554FEE">
      <w:pPr>
        <w:spacing w:after="0" w:line="240" w:lineRule="auto"/>
        <w:rPr>
          <w:rFonts w:ascii="Arial" w:eastAsia="Arial" w:hAnsi="Arial" w:cs="Arial"/>
          <w:b/>
          <w:bCs/>
          <w:sz w:val="24"/>
          <w:szCs w:val="24"/>
        </w:rPr>
      </w:pPr>
      <w:bookmarkStart w:id="26" w:name="_heading=h.8kz63ivwrtwv" w:colFirst="0" w:colLast="0"/>
      <w:bookmarkEnd w:id="26"/>
    </w:p>
    <w:p w:rsidR="00554FEE" w:rsidRDefault="00554FEE">
      <w:pPr>
        <w:spacing w:after="0" w:line="240" w:lineRule="auto"/>
        <w:rPr>
          <w:rFonts w:ascii="Arial" w:eastAsia="Arial" w:hAnsi="Arial" w:cs="Arial"/>
          <w:b/>
          <w:bCs/>
          <w:sz w:val="24"/>
          <w:szCs w:val="24"/>
        </w:rPr>
      </w:pPr>
      <w:bookmarkStart w:id="27" w:name="_heading=h.26b5cudint9u" w:colFirst="0" w:colLast="0"/>
      <w:bookmarkEnd w:id="27"/>
    </w:p>
    <w:p w:rsidR="00554FEE" w:rsidRDefault="00554FEE">
      <w:pPr>
        <w:spacing w:after="0" w:line="240" w:lineRule="auto"/>
        <w:rPr>
          <w:rFonts w:ascii="Arial" w:eastAsia="Arial" w:hAnsi="Arial" w:cs="Arial"/>
          <w:b/>
          <w:bCs/>
          <w:sz w:val="24"/>
          <w:szCs w:val="24"/>
        </w:rPr>
      </w:pPr>
      <w:bookmarkStart w:id="28" w:name="_heading=h.vtn09j913zgq" w:colFirst="0" w:colLast="0"/>
      <w:bookmarkEnd w:id="28"/>
    </w:p>
    <w:p w:rsidR="00554FEE" w:rsidRDefault="00554FEE">
      <w:pPr>
        <w:spacing w:after="0" w:line="240" w:lineRule="auto"/>
        <w:rPr>
          <w:rFonts w:ascii="Arial" w:eastAsia="Arial" w:hAnsi="Arial" w:cs="Arial"/>
          <w:b/>
          <w:bCs/>
          <w:sz w:val="24"/>
          <w:szCs w:val="24"/>
        </w:rPr>
      </w:pPr>
      <w:bookmarkStart w:id="29" w:name="_heading=h.q04yypy9c49e" w:colFirst="0" w:colLast="0"/>
      <w:bookmarkEnd w:id="29"/>
    </w:p>
    <w:p w:rsidR="00554FEE" w:rsidRDefault="00554FEE">
      <w:pPr>
        <w:spacing w:after="0" w:line="240" w:lineRule="auto"/>
        <w:rPr>
          <w:rFonts w:ascii="Arial" w:eastAsia="Arial" w:hAnsi="Arial" w:cs="Arial"/>
          <w:b/>
          <w:bCs/>
          <w:sz w:val="24"/>
          <w:szCs w:val="24"/>
        </w:rPr>
      </w:pPr>
      <w:bookmarkStart w:id="30" w:name="_heading=h.ozdby3et0ck2" w:colFirst="0" w:colLast="0"/>
      <w:bookmarkEnd w:id="30"/>
    </w:p>
    <w:p w:rsidR="00554FEE" w:rsidRDefault="00554FEE">
      <w:pPr>
        <w:spacing w:after="0" w:line="240" w:lineRule="auto"/>
        <w:rPr>
          <w:rFonts w:ascii="Arial" w:eastAsia="Arial" w:hAnsi="Arial" w:cs="Arial"/>
          <w:b/>
          <w:bCs/>
          <w:sz w:val="24"/>
          <w:szCs w:val="24"/>
        </w:rPr>
      </w:pPr>
      <w:bookmarkStart w:id="31" w:name="_heading=h.1hqkf25cdypk" w:colFirst="0" w:colLast="0"/>
      <w:bookmarkEnd w:id="31"/>
    </w:p>
    <w:p w:rsidR="00554FEE" w:rsidRDefault="00554FEE">
      <w:pPr>
        <w:spacing w:after="0" w:line="240" w:lineRule="auto"/>
        <w:rPr>
          <w:rFonts w:ascii="Verdana" w:eastAsia="Verdana" w:hAnsi="Verdana" w:cs="Verdana"/>
          <w:b/>
          <w:bCs/>
          <w:sz w:val="30"/>
          <w:szCs w:val="30"/>
        </w:rPr>
      </w:pPr>
      <w:bookmarkStart w:id="32" w:name="_heading=h.651aj3scytzr" w:colFirst="0" w:colLast="0"/>
      <w:bookmarkEnd w:id="32"/>
    </w:p>
    <w:p w:rsidR="00554FEE" w:rsidRDefault="00554FEE">
      <w:pPr>
        <w:spacing w:after="0" w:line="240" w:lineRule="auto"/>
        <w:rPr>
          <w:rFonts w:ascii="Verdana" w:eastAsia="Verdana" w:hAnsi="Verdana" w:cs="Verdana"/>
          <w:b/>
          <w:bCs/>
          <w:sz w:val="30"/>
          <w:szCs w:val="30"/>
        </w:rPr>
      </w:pPr>
      <w:bookmarkStart w:id="33" w:name="_heading=h.jq3ur4vt5b9q" w:colFirst="0" w:colLast="0"/>
      <w:bookmarkEnd w:id="33"/>
    </w:p>
    <w:p w:rsidR="00554FEE" w:rsidRDefault="00554FEE">
      <w:pPr>
        <w:spacing w:after="0" w:line="240" w:lineRule="auto"/>
        <w:rPr>
          <w:rFonts w:ascii="Nunito Black" w:eastAsia="Nunito Black" w:hAnsi="Nunito Black" w:cs="Nunito Black"/>
          <w:sz w:val="30"/>
          <w:szCs w:val="30"/>
        </w:rPr>
      </w:pPr>
      <w:bookmarkStart w:id="34" w:name="_heading=h.g6xfpfj9qj0s" w:colFirst="0" w:colLast="0"/>
      <w:bookmarkEnd w:id="34"/>
    </w:p>
    <w:p w:rsidR="00554FEE" w:rsidRPr="003C1075" w:rsidRDefault="003C1075">
      <w:pPr>
        <w:spacing w:after="0" w:line="240" w:lineRule="auto"/>
        <w:rPr>
          <w:rFonts w:ascii="Arial" w:eastAsia="Nunito Black" w:hAnsi="Arial" w:cs="Arial"/>
          <w:b/>
          <w:sz w:val="44"/>
          <w:szCs w:val="50"/>
        </w:rPr>
      </w:pPr>
      <w:bookmarkStart w:id="35" w:name="_heading=h.ut5ji03qr7ub" w:colFirst="0" w:colLast="0"/>
      <w:bookmarkEnd w:id="35"/>
      <w:r w:rsidRPr="003C1075">
        <w:rPr>
          <w:rFonts w:ascii="Arial" w:eastAsia="Nunito Black" w:hAnsi="Arial" w:cs="Arial"/>
          <w:b/>
          <w:sz w:val="44"/>
          <w:szCs w:val="50"/>
        </w:rPr>
        <w:t>PLAN INSTITUCIONAL DE GESTIÓN AMBIENTAL</w:t>
      </w:r>
    </w:p>
    <w:p w:rsidR="00554FEE" w:rsidRDefault="00554FEE">
      <w:pPr>
        <w:spacing w:after="0" w:line="240" w:lineRule="auto"/>
        <w:rPr>
          <w:rFonts w:ascii="Arial" w:eastAsia="Arial" w:hAnsi="Arial" w:cs="Arial"/>
          <w:i/>
          <w:iCs/>
          <w:sz w:val="28"/>
          <w:szCs w:val="28"/>
        </w:rPr>
      </w:pPr>
      <w:bookmarkStart w:id="36" w:name="_heading=h.4q01qg2dpljr" w:colFirst="0" w:colLast="0"/>
      <w:bookmarkEnd w:id="36"/>
    </w:p>
    <w:p w:rsidR="00554FEE" w:rsidRDefault="001000CA">
      <w:pPr>
        <w:spacing w:after="0" w:line="240" w:lineRule="auto"/>
        <w:rPr>
          <w:rFonts w:ascii="Nunito" w:eastAsia="Nunito" w:hAnsi="Nunito" w:cs="Nunito"/>
          <w:i/>
          <w:iCs/>
          <w:sz w:val="28"/>
          <w:szCs w:val="28"/>
        </w:rPr>
      </w:pPr>
      <w:bookmarkStart w:id="37" w:name="_heading=h.jufk52t903gi" w:colFirst="0" w:colLast="0"/>
      <w:bookmarkEnd w:id="37"/>
      <w:r>
        <w:rPr>
          <w:rFonts w:ascii="Nunito" w:eastAsia="Nunito" w:hAnsi="Nunito" w:cs="Nunito"/>
          <w:i/>
          <w:iCs/>
          <w:sz w:val="28"/>
          <w:szCs w:val="28"/>
        </w:rPr>
        <w:t>2026</w:t>
      </w:r>
    </w:p>
    <w:p w:rsidR="00554FEE" w:rsidRDefault="00554FEE">
      <w:pPr>
        <w:spacing w:after="0" w:line="240" w:lineRule="auto"/>
        <w:rPr>
          <w:rFonts w:ascii="Arial" w:eastAsia="Arial" w:hAnsi="Arial" w:cs="Arial"/>
          <w:b/>
          <w:bCs/>
          <w:sz w:val="24"/>
          <w:szCs w:val="24"/>
        </w:rPr>
      </w:pPr>
      <w:bookmarkStart w:id="38" w:name="_heading=h.7xq0q7unndkz" w:colFirst="0" w:colLast="0"/>
      <w:bookmarkEnd w:id="38"/>
    </w:p>
    <w:p w:rsidR="00554FEE" w:rsidRDefault="00554FEE">
      <w:pPr>
        <w:spacing w:after="0" w:line="240" w:lineRule="auto"/>
        <w:rPr>
          <w:rFonts w:ascii="Arial" w:eastAsia="Arial" w:hAnsi="Arial" w:cs="Arial"/>
          <w:b/>
          <w:bCs/>
          <w:sz w:val="24"/>
          <w:szCs w:val="24"/>
        </w:rPr>
      </w:pPr>
      <w:bookmarkStart w:id="39" w:name="_heading=h.bb5uxtoi3z85" w:colFirst="0" w:colLast="0"/>
      <w:bookmarkEnd w:id="39"/>
    </w:p>
    <w:p w:rsidR="00554FEE" w:rsidRDefault="00554FEE">
      <w:pPr>
        <w:spacing w:after="0" w:line="240" w:lineRule="auto"/>
        <w:rPr>
          <w:rFonts w:ascii="Arial" w:eastAsia="Arial" w:hAnsi="Arial" w:cs="Arial"/>
          <w:b/>
          <w:bCs/>
          <w:sz w:val="24"/>
          <w:szCs w:val="24"/>
        </w:rPr>
      </w:pPr>
      <w:bookmarkStart w:id="40" w:name="_heading=h.mejxrau123i0" w:colFirst="0" w:colLast="0"/>
      <w:bookmarkEnd w:id="40"/>
    </w:p>
    <w:p w:rsidR="00554FEE" w:rsidRDefault="00554FEE">
      <w:pPr>
        <w:spacing w:after="0" w:line="240" w:lineRule="auto"/>
        <w:rPr>
          <w:b/>
          <w:bCs/>
          <w:sz w:val="24"/>
          <w:szCs w:val="24"/>
        </w:rPr>
      </w:pPr>
      <w:bookmarkStart w:id="41" w:name="_heading=h.w8975al9uxpw" w:colFirst="0" w:colLast="0"/>
      <w:bookmarkEnd w:id="41"/>
    </w:p>
    <w:p w:rsidR="00554FEE" w:rsidRDefault="00554FEE">
      <w:pPr>
        <w:spacing w:after="0" w:line="240" w:lineRule="auto"/>
        <w:rPr>
          <w:b/>
          <w:bCs/>
          <w:sz w:val="24"/>
          <w:szCs w:val="24"/>
        </w:rPr>
      </w:pPr>
      <w:bookmarkStart w:id="42" w:name="_heading=h.1fob9te" w:colFirst="0" w:colLast="0"/>
      <w:bookmarkEnd w:id="42"/>
    </w:p>
    <w:p w:rsidR="00554FEE" w:rsidRDefault="00554FEE">
      <w:pPr>
        <w:keepNext/>
        <w:pBdr>
          <w:top w:val="nil"/>
          <w:left w:val="nil"/>
          <w:bottom w:val="nil"/>
          <w:right w:val="nil"/>
          <w:between w:val="nil"/>
        </w:pBdr>
        <w:spacing w:after="0" w:line="240" w:lineRule="auto"/>
        <w:rPr>
          <w:sz w:val="28"/>
          <w:szCs w:val="28"/>
        </w:rPr>
      </w:pPr>
    </w:p>
    <w:p w:rsidR="00554FEE" w:rsidRDefault="001000CA">
      <w:pPr>
        <w:keepNext/>
        <w:pBdr>
          <w:top w:val="nil"/>
          <w:left w:val="nil"/>
          <w:bottom w:val="nil"/>
          <w:right w:val="nil"/>
          <w:between w:val="nil"/>
        </w:pBdr>
        <w:tabs>
          <w:tab w:val="left" w:pos="1365"/>
        </w:tabs>
        <w:spacing w:after="0" w:line="240" w:lineRule="auto"/>
        <w:rPr>
          <w:rFonts w:ascii="Nunito" w:eastAsia="Nunito" w:hAnsi="Nunito" w:cs="Nunito"/>
          <w:color w:val="000000"/>
          <w:sz w:val="24"/>
          <w:szCs w:val="24"/>
        </w:rPr>
      </w:pPr>
      <w:proofErr w:type="spellStart"/>
      <w:r>
        <w:rPr>
          <w:rFonts w:ascii="Nunito" w:eastAsia="Nunito" w:hAnsi="Nunito" w:cs="Nunito"/>
          <w:color w:val="000000"/>
          <w:sz w:val="24"/>
          <w:szCs w:val="24"/>
        </w:rPr>
        <w:t>Alhena</w:t>
      </w:r>
      <w:proofErr w:type="spellEnd"/>
      <w:r>
        <w:rPr>
          <w:rFonts w:ascii="Nunito" w:eastAsia="Nunito" w:hAnsi="Nunito" w:cs="Nunito"/>
          <w:color w:val="000000"/>
          <w:sz w:val="24"/>
          <w:szCs w:val="24"/>
        </w:rPr>
        <w:t xml:space="preserve"> Caicedo Fernández </w:t>
      </w:r>
    </w:p>
    <w:p w:rsidR="00554FEE" w:rsidRDefault="001000CA">
      <w:pPr>
        <w:keepNext/>
        <w:pBdr>
          <w:top w:val="nil"/>
          <w:left w:val="nil"/>
          <w:bottom w:val="nil"/>
          <w:right w:val="nil"/>
          <w:between w:val="nil"/>
        </w:pBdr>
        <w:spacing w:after="0" w:line="240" w:lineRule="auto"/>
        <w:rPr>
          <w:rFonts w:ascii="Nunito" w:eastAsia="Nunito" w:hAnsi="Nunito" w:cs="Nunito"/>
          <w:color w:val="000000"/>
          <w:sz w:val="24"/>
          <w:szCs w:val="24"/>
        </w:rPr>
      </w:pPr>
      <w:r>
        <w:rPr>
          <w:rFonts w:ascii="Nunito" w:eastAsia="Nunito" w:hAnsi="Nunito" w:cs="Nunito"/>
          <w:color w:val="000000"/>
          <w:sz w:val="24"/>
          <w:szCs w:val="24"/>
        </w:rPr>
        <w:t>Directora General </w:t>
      </w:r>
    </w:p>
    <w:p w:rsidR="00554FEE" w:rsidRDefault="00554FEE">
      <w:pPr>
        <w:keepNext/>
        <w:pBdr>
          <w:top w:val="nil"/>
          <w:left w:val="nil"/>
          <w:bottom w:val="nil"/>
          <w:right w:val="nil"/>
          <w:between w:val="nil"/>
        </w:pBdr>
        <w:spacing w:after="0" w:line="240" w:lineRule="auto"/>
        <w:rPr>
          <w:rFonts w:ascii="Nunito" w:eastAsia="Nunito" w:hAnsi="Nunito" w:cs="Nunito"/>
          <w:color w:val="000000"/>
          <w:sz w:val="24"/>
          <w:szCs w:val="24"/>
        </w:rPr>
      </w:pPr>
    </w:p>
    <w:p w:rsidR="00554FEE" w:rsidRDefault="00554FEE">
      <w:pPr>
        <w:keepNext/>
        <w:pBdr>
          <w:top w:val="nil"/>
          <w:left w:val="nil"/>
          <w:bottom w:val="nil"/>
          <w:right w:val="nil"/>
          <w:between w:val="nil"/>
        </w:pBdr>
        <w:spacing w:after="0" w:line="240" w:lineRule="auto"/>
        <w:rPr>
          <w:rFonts w:ascii="Nunito" w:eastAsia="Nunito" w:hAnsi="Nunito" w:cs="Nunito"/>
          <w:color w:val="000000"/>
          <w:sz w:val="24"/>
          <w:szCs w:val="24"/>
        </w:rPr>
      </w:pPr>
    </w:p>
    <w:p w:rsidR="00554FEE" w:rsidRDefault="00554FEE">
      <w:pPr>
        <w:keepNext/>
        <w:pBdr>
          <w:top w:val="nil"/>
          <w:left w:val="nil"/>
          <w:bottom w:val="nil"/>
          <w:right w:val="nil"/>
          <w:between w:val="nil"/>
        </w:pBdr>
        <w:spacing w:after="0" w:line="240" w:lineRule="auto"/>
        <w:rPr>
          <w:rFonts w:ascii="Nunito" w:eastAsia="Nunito" w:hAnsi="Nunito" w:cs="Nunito"/>
          <w:color w:val="000000"/>
          <w:sz w:val="24"/>
          <w:szCs w:val="24"/>
        </w:rPr>
      </w:pPr>
    </w:p>
    <w:p w:rsidR="00554FEE" w:rsidRDefault="00554FEE">
      <w:pPr>
        <w:keepNext/>
        <w:pBdr>
          <w:top w:val="nil"/>
          <w:left w:val="nil"/>
          <w:bottom w:val="nil"/>
          <w:right w:val="nil"/>
          <w:between w:val="nil"/>
        </w:pBdr>
        <w:spacing w:after="0" w:line="240" w:lineRule="auto"/>
        <w:rPr>
          <w:rFonts w:ascii="Nunito" w:eastAsia="Nunito" w:hAnsi="Nunito" w:cs="Nunito"/>
          <w:color w:val="000000"/>
          <w:sz w:val="24"/>
          <w:szCs w:val="24"/>
        </w:rPr>
      </w:pPr>
    </w:p>
    <w:p w:rsidR="00554FEE" w:rsidRDefault="001000CA">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Ana Silvia Olano</w:t>
      </w:r>
    </w:p>
    <w:p w:rsidR="00554FEE" w:rsidRDefault="001000CA">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Secretaria General</w:t>
      </w:r>
    </w:p>
    <w:p w:rsidR="00554FEE" w:rsidRDefault="00554FEE">
      <w:pPr>
        <w:keepNext/>
        <w:pBdr>
          <w:top w:val="nil"/>
          <w:left w:val="nil"/>
          <w:bottom w:val="nil"/>
          <w:right w:val="nil"/>
          <w:between w:val="nil"/>
        </w:pBdr>
        <w:spacing w:after="0" w:line="240" w:lineRule="auto"/>
        <w:rPr>
          <w:rFonts w:ascii="Nunito" w:eastAsia="Nunito" w:hAnsi="Nunito" w:cs="Nunito"/>
          <w:sz w:val="24"/>
          <w:szCs w:val="24"/>
        </w:rPr>
      </w:pPr>
    </w:p>
    <w:p w:rsidR="00554FEE" w:rsidRDefault="00554FEE">
      <w:pPr>
        <w:keepNext/>
        <w:pBdr>
          <w:top w:val="nil"/>
          <w:left w:val="nil"/>
          <w:bottom w:val="nil"/>
          <w:right w:val="nil"/>
          <w:between w:val="nil"/>
        </w:pBdr>
        <w:spacing w:after="0" w:line="240" w:lineRule="auto"/>
        <w:rPr>
          <w:rFonts w:ascii="Nunito" w:eastAsia="Nunito" w:hAnsi="Nunito" w:cs="Nunito"/>
          <w:sz w:val="24"/>
          <w:szCs w:val="24"/>
        </w:rPr>
      </w:pPr>
    </w:p>
    <w:p w:rsidR="00554FEE" w:rsidRDefault="00554FEE">
      <w:pPr>
        <w:keepNext/>
        <w:pBdr>
          <w:top w:val="nil"/>
          <w:left w:val="nil"/>
          <w:bottom w:val="nil"/>
          <w:right w:val="nil"/>
          <w:between w:val="nil"/>
        </w:pBdr>
        <w:spacing w:after="0" w:line="240" w:lineRule="auto"/>
        <w:rPr>
          <w:rFonts w:ascii="Nunito" w:eastAsia="Nunito" w:hAnsi="Nunito" w:cs="Nunito"/>
          <w:sz w:val="24"/>
          <w:szCs w:val="24"/>
        </w:rPr>
      </w:pPr>
    </w:p>
    <w:p w:rsidR="00554FEE" w:rsidRDefault="00554FEE">
      <w:pPr>
        <w:keepNext/>
        <w:pBdr>
          <w:top w:val="nil"/>
          <w:left w:val="nil"/>
          <w:bottom w:val="nil"/>
          <w:right w:val="nil"/>
          <w:between w:val="nil"/>
        </w:pBdr>
        <w:spacing w:after="0" w:line="240" w:lineRule="auto"/>
        <w:rPr>
          <w:rFonts w:ascii="Nunito" w:eastAsia="Nunito" w:hAnsi="Nunito" w:cs="Nunito"/>
          <w:sz w:val="24"/>
          <w:szCs w:val="24"/>
        </w:rPr>
      </w:pPr>
    </w:p>
    <w:p w:rsidR="00554FEE" w:rsidRDefault="001000CA">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Javier Estrada</w:t>
      </w:r>
    </w:p>
    <w:p w:rsidR="00554FEE" w:rsidRDefault="001000CA">
      <w:pPr>
        <w:rPr>
          <w:rFonts w:ascii="Nunito" w:eastAsia="Nunito" w:hAnsi="Nunito" w:cs="Nunito"/>
          <w:sz w:val="24"/>
          <w:szCs w:val="24"/>
        </w:rPr>
      </w:pPr>
      <w:r>
        <w:rPr>
          <w:rFonts w:ascii="Nunito" w:eastAsia="Nunito" w:hAnsi="Nunito" w:cs="Nunito"/>
          <w:sz w:val="24"/>
          <w:szCs w:val="24"/>
        </w:rPr>
        <w:t>Profesional especializado código 2028 grado 15 - Área Funcional de Talento Humano.</w:t>
      </w:r>
    </w:p>
    <w:p w:rsidR="00554FEE" w:rsidRDefault="00554FEE">
      <w:pPr>
        <w:rPr>
          <w:rFonts w:ascii="Nunito" w:eastAsia="Nunito" w:hAnsi="Nunito" w:cs="Nunito"/>
          <w:sz w:val="24"/>
          <w:szCs w:val="24"/>
        </w:rPr>
      </w:pPr>
    </w:p>
    <w:p w:rsidR="00554FEE" w:rsidRDefault="00554FEE">
      <w:pPr>
        <w:rPr>
          <w:rFonts w:ascii="Nunito" w:eastAsia="Nunito" w:hAnsi="Nunito" w:cs="Nunito"/>
          <w:sz w:val="24"/>
          <w:szCs w:val="24"/>
        </w:rPr>
      </w:pPr>
    </w:p>
    <w:p w:rsidR="00554FEE" w:rsidRDefault="00554FEE">
      <w:pPr>
        <w:rPr>
          <w:rFonts w:ascii="Nunito" w:eastAsia="Nunito" w:hAnsi="Nunito" w:cs="Nunito"/>
          <w:sz w:val="24"/>
          <w:szCs w:val="24"/>
        </w:rPr>
      </w:pPr>
    </w:p>
    <w:p w:rsidR="00554FEE" w:rsidRDefault="001000CA">
      <w:pPr>
        <w:rPr>
          <w:rFonts w:ascii="Nunito" w:eastAsia="Nunito" w:hAnsi="Nunito" w:cs="Nunito"/>
          <w:sz w:val="24"/>
          <w:szCs w:val="24"/>
        </w:rPr>
      </w:pPr>
      <w:r>
        <w:rPr>
          <w:rFonts w:ascii="Nunito" w:eastAsia="Nunito" w:hAnsi="Nunito" w:cs="Nunito"/>
          <w:sz w:val="24"/>
          <w:szCs w:val="24"/>
        </w:rPr>
        <w:t>Enero de 2026</w:t>
      </w:r>
    </w:p>
    <w:p w:rsidR="00554FEE" w:rsidRDefault="00554FEE"/>
    <w:p w:rsidR="00554FEE" w:rsidRDefault="001000CA">
      <w:r>
        <w:br w:type="page"/>
      </w:r>
    </w:p>
    <w:p w:rsidR="00554FEE" w:rsidRDefault="001000CA">
      <w:pPr>
        <w:keepNext/>
        <w:keepLines/>
        <w:pBdr>
          <w:top w:val="nil"/>
          <w:left w:val="nil"/>
          <w:bottom w:val="nil"/>
          <w:right w:val="nil"/>
          <w:between w:val="nil"/>
        </w:pBdr>
        <w:spacing w:before="240" w:after="0"/>
        <w:rPr>
          <w:color w:val="2E75B5"/>
          <w:sz w:val="32"/>
          <w:szCs w:val="32"/>
        </w:rPr>
      </w:pPr>
      <w:r>
        <w:rPr>
          <w:color w:val="2E75B5"/>
          <w:sz w:val="32"/>
          <w:szCs w:val="32"/>
        </w:rPr>
        <w:lastRenderedPageBreak/>
        <w:t>Tabla de contenido</w:t>
      </w:r>
    </w:p>
    <w:sdt>
      <w:sdtPr>
        <w:id w:val="-1210128539"/>
        <w:docPartObj>
          <w:docPartGallery w:val="Table of Contents"/>
          <w:docPartUnique/>
        </w:docPartObj>
      </w:sdtPr>
      <w:sdtEndPr>
        <w:rPr>
          <w:rFonts w:ascii="Arial" w:hAnsi="Arial" w:cs="Arial"/>
        </w:rPr>
      </w:sdtEndPr>
      <w:sdtContent>
        <w:p w:rsidR="00554FEE" w:rsidRPr="003C1075" w:rsidRDefault="001000CA">
          <w:pPr>
            <w:pBdr>
              <w:top w:val="nil"/>
              <w:left w:val="nil"/>
              <w:bottom w:val="nil"/>
              <w:right w:val="nil"/>
              <w:between w:val="nil"/>
            </w:pBdr>
            <w:tabs>
              <w:tab w:val="left" w:pos="440"/>
              <w:tab w:val="right" w:pos="9202"/>
            </w:tabs>
            <w:spacing w:after="100" w:line="480" w:lineRule="auto"/>
            <w:rPr>
              <w:rFonts w:ascii="Arial" w:hAnsi="Arial" w:cs="Arial"/>
              <w:color w:val="000000"/>
            </w:rPr>
          </w:pPr>
          <w:r w:rsidRPr="003C1075">
            <w:rPr>
              <w:rFonts w:ascii="Arial" w:hAnsi="Arial" w:cs="Arial"/>
            </w:rPr>
            <w:fldChar w:fldCharType="begin"/>
          </w:r>
          <w:r w:rsidRPr="003C1075">
            <w:rPr>
              <w:rFonts w:ascii="Arial" w:hAnsi="Arial" w:cs="Arial"/>
            </w:rPr>
            <w:instrText xml:space="preserve"> TOC \h \u \z \t "Heading 1,1,Heading 2,2,Heading 3,3,"</w:instrText>
          </w:r>
          <w:r w:rsidRPr="003C1075">
            <w:rPr>
              <w:rFonts w:ascii="Arial" w:hAnsi="Arial" w:cs="Arial"/>
            </w:rPr>
            <w:fldChar w:fldCharType="separate"/>
          </w:r>
          <w:hyperlink w:anchor="_heading=h.5ygw2010i6kj">
            <w:r w:rsidRPr="003C1075">
              <w:rPr>
                <w:rFonts w:ascii="Arial" w:eastAsia="Arial" w:hAnsi="Arial" w:cs="Arial"/>
                <w:b/>
                <w:bCs/>
                <w:color w:val="000000"/>
              </w:rPr>
              <w:t>1.</w:t>
            </w:r>
          </w:hyperlink>
          <w:hyperlink w:anchor="_heading=h.5ygw2010i6kj">
            <w:r w:rsidRPr="003C1075">
              <w:rPr>
                <w:rFonts w:ascii="Arial" w:hAnsi="Arial" w:cs="Arial"/>
                <w:color w:val="000000"/>
              </w:rPr>
              <w:tab/>
            </w:r>
          </w:hyperlink>
          <w:r w:rsidRPr="003C1075">
            <w:rPr>
              <w:rFonts w:ascii="Arial" w:hAnsi="Arial" w:cs="Arial"/>
            </w:rPr>
            <w:fldChar w:fldCharType="begin"/>
          </w:r>
          <w:r w:rsidRPr="003C1075">
            <w:rPr>
              <w:rFonts w:ascii="Arial" w:hAnsi="Arial" w:cs="Arial"/>
            </w:rPr>
            <w:instrText xml:space="preserve"> PAGEREF _heading=h.5ygw2010i6kj \h </w:instrText>
          </w:r>
          <w:r w:rsidRPr="003C1075">
            <w:rPr>
              <w:rFonts w:ascii="Arial" w:hAnsi="Arial" w:cs="Arial"/>
            </w:rPr>
          </w:r>
          <w:r w:rsidRPr="003C1075">
            <w:rPr>
              <w:rFonts w:ascii="Arial" w:hAnsi="Arial" w:cs="Arial"/>
            </w:rPr>
            <w:fldChar w:fldCharType="separate"/>
          </w:r>
          <w:r w:rsidRPr="003C1075">
            <w:rPr>
              <w:rFonts w:ascii="Arial" w:eastAsia="Arial" w:hAnsi="Arial" w:cs="Arial"/>
              <w:b/>
              <w:bCs/>
              <w:color w:val="000000"/>
            </w:rPr>
            <w:t>Introducción</w:t>
          </w:r>
          <w:r w:rsidRPr="003C1075">
            <w:rPr>
              <w:rFonts w:ascii="Arial" w:hAnsi="Arial" w:cs="Arial"/>
              <w:color w:val="000000"/>
            </w:rPr>
            <w:tab/>
            <w:t>4</w:t>
          </w:r>
          <w:r w:rsidRPr="003C1075">
            <w:rPr>
              <w:rFonts w:ascii="Arial" w:hAnsi="Arial" w:cs="Arial"/>
            </w:rPr>
            <w:fldChar w:fldCharType="end"/>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lqu02yoowgtt">
            <w:r w:rsidR="001000CA" w:rsidRPr="003C1075">
              <w:rPr>
                <w:rFonts w:ascii="Arial" w:eastAsia="Arial" w:hAnsi="Arial" w:cs="Arial"/>
                <w:b/>
                <w:bCs/>
                <w:color w:val="000000"/>
              </w:rPr>
              <w:t>2.</w:t>
            </w:r>
          </w:hyperlink>
          <w:hyperlink w:anchor="_heading=h.lqu02yoowgtt">
            <w:r w:rsidR="001000CA" w:rsidRPr="003C1075">
              <w:rPr>
                <w:rFonts w:ascii="Arial" w:hAnsi="Arial" w:cs="Arial"/>
                <w:color w:val="000000"/>
              </w:rPr>
              <w:tab/>
            </w:r>
          </w:hyperlink>
          <w:r w:rsidR="001000CA" w:rsidRPr="003C1075">
            <w:rPr>
              <w:rFonts w:ascii="Arial" w:hAnsi="Arial" w:cs="Arial"/>
            </w:rPr>
            <w:fldChar w:fldCharType="begin"/>
          </w:r>
          <w:r w:rsidR="001000CA" w:rsidRPr="003C1075">
            <w:rPr>
              <w:rFonts w:ascii="Arial" w:hAnsi="Arial" w:cs="Arial"/>
            </w:rPr>
            <w:instrText xml:space="preserve"> PAGEREF _heading=h.lqu02yoowgtt \h </w:instrText>
          </w:r>
          <w:r w:rsidR="001000CA" w:rsidRPr="003C1075">
            <w:rPr>
              <w:rFonts w:ascii="Arial" w:hAnsi="Arial" w:cs="Arial"/>
            </w:rPr>
          </w:r>
          <w:r w:rsidR="001000CA" w:rsidRPr="003C1075">
            <w:rPr>
              <w:rFonts w:ascii="Arial" w:hAnsi="Arial" w:cs="Arial"/>
            </w:rPr>
            <w:fldChar w:fldCharType="separate"/>
          </w:r>
          <w:r w:rsidR="001000CA" w:rsidRPr="003C1075">
            <w:rPr>
              <w:rFonts w:ascii="Arial" w:eastAsia="Arial" w:hAnsi="Arial" w:cs="Arial"/>
              <w:b/>
              <w:bCs/>
              <w:color w:val="000000"/>
            </w:rPr>
            <w:t>Marco normativo</w:t>
          </w:r>
          <w:r w:rsidR="001000CA" w:rsidRPr="003C1075">
            <w:rPr>
              <w:rFonts w:ascii="Arial" w:hAnsi="Arial" w:cs="Arial"/>
              <w:color w:val="000000"/>
            </w:rPr>
            <w:tab/>
            <w:t>4</w:t>
          </w:r>
          <w:r w:rsidR="001000CA" w:rsidRPr="003C1075">
            <w:rPr>
              <w:rFonts w:ascii="Arial" w:hAnsi="Arial" w:cs="Arial"/>
            </w:rPr>
            <w:fldChar w:fldCharType="end"/>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tkpzkr8v6vkl">
            <w:r w:rsidR="001000CA" w:rsidRPr="003C1075">
              <w:rPr>
                <w:rFonts w:ascii="Arial" w:eastAsia="Arial" w:hAnsi="Arial" w:cs="Arial"/>
                <w:b/>
                <w:bCs/>
                <w:color w:val="000000"/>
              </w:rPr>
              <w:t>3.</w:t>
            </w:r>
          </w:hyperlink>
          <w:hyperlink w:anchor="_heading=h.tkpzkr8v6vkl">
            <w:r w:rsidR="001000CA" w:rsidRPr="003C1075">
              <w:rPr>
                <w:rFonts w:ascii="Arial" w:hAnsi="Arial" w:cs="Arial"/>
                <w:color w:val="000000"/>
              </w:rPr>
              <w:tab/>
            </w:r>
          </w:hyperlink>
          <w:r w:rsidR="001000CA" w:rsidRPr="003C1075">
            <w:rPr>
              <w:rFonts w:ascii="Arial" w:hAnsi="Arial" w:cs="Arial"/>
            </w:rPr>
            <w:fldChar w:fldCharType="begin"/>
          </w:r>
          <w:r w:rsidR="001000CA" w:rsidRPr="003C1075">
            <w:rPr>
              <w:rFonts w:ascii="Arial" w:hAnsi="Arial" w:cs="Arial"/>
            </w:rPr>
            <w:instrText xml:space="preserve"> PAGEREF _heading=h.tkpzkr8v6vkl \h </w:instrText>
          </w:r>
          <w:r w:rsidR="001000CA" w:rsidRPr="003C1075">
            <w:rPr>
              <w:rFonts w:ascii="Arial" w:hAnsi="Arial" w:cs="Arial"/>
            </w:rPr>
          </w:r>
          <w:r w:rsidR="001000CA" w:rsidRPr="003C1075">
            <w:rPr>
              <w:rFonts w:ascii="Arial" w:hAnsi="Arial" w:cs="Arial"/>
            </w:rPr>
            <w:fldChar w:fldCharType="separate"/>
          </w:r>
          <w:r w:rsidR="001000CA" w:rsidRPr="003C1075">
            <w:rPr>
              <w:rFonts w:ascii="Arial" w:eastAsia="Arial" w:hAnsi="Arial" w:cs="Arial"/>
              <w:b/>
              <w:bCs/>
              <w:color w:val="000000"/>
            </w:rPr>
            <w:t>Objetivos</w:t>
          </w:r>
          <w:r w:rsidR="001000CA" w:rsidRPr="003C1075">
            <w:rPr>
              <w:rFonts w:ascii="Arial" w:hAnsi="Arial" w:cs="Arial"/>
              <w:color w:val="000000"/>
            </w:rPr>
            <w:tab/>
            <w:t>5</w:t>
          </w:r>
          <w:r w:rsidR="001000CA" w:rsidRPr="003C1075">
            <w:rPr>
              <w:rFonts w:ascii="Arial" w:hAnsi="Arial" w:cs="Arial"/>
            </w:rPr>
            <w:fldChar w:fldCharType="end"/>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5nn92hlzkn8b">
            <w:r w:rsidR="001000CA" w:rsidRPr="003C1075">
              <w:rPr>
                <w:rFonts w:ascii="Arial" w:eastAsia="Arial" w:hAnsi="Arial" w:cs="Arial"/>
                <w:b/>
                <w:bCs/>
                <w:color w:val="000000"/>
              </w:rPr>
              <w:t>4.</w:t>
            </w:r>
          </w:hyperlink>
          <w:hyperlink w:anchor="_heading=h.5nn92hlzkn8b">
            <w:r w:rsidR="001000CA" w:rsidRPr="003C1075">
              <w:rPr>
                <w:rFonts w:ascii="Arial" w:hAnsi="Arial" w:cs="Arial"/>
                <w:color w:val="000000"/>
              </w:rPr>
              <w:tab/>
            </w:r>
          </w:hyperlink>
          <w:r w:rsidR="001000CA" w:rsidRPr="003C1075">
            <w:rPr>
              <w:rFonts w:ascii="Arial" w:hAnsi="Arial" w:cs="Arial"/>
            </w:rPr>
            <w:fldChar w:fldCharType="begin"/>
          </w:r>
          <w:r w:rsidR="001000CA" w:rsidRPr="003C1075">
            <w:rPr>
              <w:rFonts w:ascii="Arial" w:hAnsi="Arial" w:cs="Arial"/>
            </w:rPr>
            <w:instrText xml:space="preserve"> PAGEREF _heading=h.5nn92hlzkn8b \h </w:instrText>
          </w:r>
          <w:r w:rsidR="001000CA" w:rsidRPr="003C1075">
            <w:rPr>
              <w:rFonts w:ascii="Arial" w:hAnsi="Arial" w:cs="Arial"/>
            </w:rPr>
          </w:r>
          <w:r w:rsidR="001000CA" w:rsidRPr="003C1075">
            <w:rPr>
              <w:rFonts w:ascii="Arial" w:hAnsi="Arial" w:cs="Arial"/>
            </w:rPr>
            <w:fldChar w:fldCharType="separate"/>
          </w:r>
          <w:r w:rsidR="001000CA" w:rsidRPr="003C1075">
            <w:rPr>
              <w:rFonts w:ascii="Arial" w:eastAsia="Arial" w:hAnsi="Arial" w:cs="Arial"/>
              <w:b/>
              <w:bCs/>
              <w:color w:val="000000"/>
            </w:rPr>
            <w:t>Alcance</w:t>
          </w:r>
          <w:r w:rsidR="001000CA" w:rsidRPr="003C1075">
            <w:rPr>
              <w:rFonts w:ascii="Arial" w:hAnsi="Arial" w:cs="Arial"/>
              <w:color w:val="000000"/>
            </w:rPr>
            <w:tab/>
            <w:t>5</w:t>
          </w:r>
          <w:r w:rsidR="001000CA" w:rsidRPr="003C1075">
            <w:rPr>
              <w:rFonts w:ascii="Arial" w:hAnsi="Arial" w:cs="Arial"/>
            </w:rPr>
            <w:fldChar w:fldCharType="end"/>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r5ze9ffp1iaz">
            <w:r w:rsidR="001000CA" w:rsidRPr="003C1075">
              <w:rPr>
                <w:rFonts w:ascii="Arial" w:eastAsia="Arial" w:hAnsi="Arial" w:cs="Arial"/>
                <w:b/>
                <w:bCs/>
                <w:color w:val="000000"/>
              </w:rPr>
              <w:t>5.</w:t>
            </w:r>
          </w:hyperlink>
          <w:hyperlink w:anchor="_heading=h.r5ze9ffp1iaz">
            <w:r w:rsidR="001000CA" w:rsidRPr="003C1075">
              <w:rPr>
                <w:rFonts w:ascii="Arial" w:hAnsi="Arial" w:cs="Arial"/>
                <w:color w:val="000000"/>
              </w:rPr>
              <w:tab/>
            </w:r>
          </w:hyperlink>
          <w:r w:rsidR="001000CA" w:rsidRPr="003C1075">
            <w:rPr>
              <w:rFonts w:ascii="Arial" w:hAnsi="Arial" w:cs="Arial"/>
            </w:rPr>
            <w:fldChar w:fldCharType="begin"/>
          </w:r>
          <w:r w:rsidR="001000CA" w:rsidRPr="003C1075">
            <w:rPr>
              <w:rFonts w:ascii="Arial" w:hAnsi="Arial" w:cs="Arial"/>
            </w:rPr>
            <w:instrText xml:space="preserve"> PAGEREF _heading=h.r5ze9ffp1iaz \h </w:instrText>
          </w:r>
          <w:r w:rsidR="001000CA" w:rsidRPr="003C1075">
            <w:rPr>
              <w:rFonts w:ascii="Arial" w:hAnsi="Arial" w:cs="Arial"/>
            </w:rPr>
          </w:r>
          <w:r w:rsidR="001000CA" w:rsidRPr="003C1075">
            <w:rPr>
              <w:rFonts w:ascii="Arial" w:hAnsi="Arial" w:cs="Arial"/>
            </w:rPr>
            <w:fldChar w:fldCharType="separate"/>
          </w:r>
          <w:r w:rsidR="001000CA" w:rsidRPr="003C1075">
            <w:rPr>
              <w:rFonts w:ascii="Arial" w:eastAsia="Arial" w:hAnsi="Arial" w:cs="Arial"/>
              <w:b/>
              <w:bCs/>
              <w:color w:val="000000"/>
            </w:rPr>
            <w:t>Definiciones</w:t>
          </w:r>
          <w:r w:rsidR="001000CA" w:rsidRPr="003C1075">
            <w:rPr>
              <w:rFonts w:ascii="Arial" w:hAnsi="Arial" w:cs="Arial"/>
              <w:color w:val="000000"/>
            </w:rPr>
            <w:tab/>
            <w:t>7</w:t>
          </w:r>
          <w:r w:rsidR="001000CA" w:rsidRPr="003C1075">
            <w:rPr>
              <w:rFonts w:ascii="Arial" w:hAnsi="Arial" w:cs="Arial"/>
            </w:rPr>
            <w:fldChar w:fldCharType="end"/>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whr3orkxqb45">
            <w:r w:rsidR="001000CA" w:rsidRPr="003C1075">
              <w:rPr>
                <w:rFonts w:ascii="Arial" w:eastAsia="Arial" w:hAnsi="Arial" w:cs="Arial"/>
                <w:b/>
                <w:bCs/>
                <w:color w:val="000000"/>
              </w:rPr>
              <w:t>6.</w:t>
            </w:r>
          </w:hyperlink>
          <w:hyperlink w:anchor="_heading=h.whr3orkxqb45">
            <w:r w:rsidR="001000CA" w:rsidRPr="003C1075">
              <w:rPr>
                <w:rFonts w:ascii="Arial" w:hAnsi="Arial" w:cs="Arial"/>
                <w:color w:val="000000"/>
              </w:rPr>
              <w:tab/>
            </w:r>
          </w:hyperlink>
          <w:r w:rsidR="001000CA" w:rsidRPr="003C1075">
            <w:rPr>
              <w:rFonts w:ascii="Arial" w:hAnsi="Arial" w:cs="Arial"/>
            </w:rPr>
            <w:fldChar w:fldCharType="begin"/>
          </w:r>
          <w:r w:rsidR="001000CA" w:rsidRPr="003C1075">
            <w:rPr>
              <w:rFonts w:ascii="Arial" w:hAnsi="Arial" w:cs="Arial"/>
            </w:rPr>
            <w:instrText xml:space="preserve"> PAGEREF _heading=h.whr3orkxqb45 \h </w:instrText>
          </w:r>
          <w:r w:rsidR="001000CA" w:rsidRPr="003C1075">
            <w:rPr>
              <w:rFonts w:ascii="Arial" w:hAnsi="Arial" w:cs="Arial"/>
            </w:rPr>
          </w:r>
          <w:r w:rsidR="001000CA" w:rsidRPr="003C1075">
            <w:rPr>
              <w:rFonts w:ascii="Arial" w:hAnsi="Arial" w:cs="Arial"/>
            </w:rPr>
            <w:fldChar w:fldCharType="separate"/>
          </w:r>
          <w:r w:rsidR="001000CA" w:rsidRPr="003C1075">
            <w:rPr>
              <w:rFonts w:ascii="Arial" w:eastAsia="Arial" w:hAnsi="Arial" w:cs="Arial"/>
              <w:b/>
              <w:bCs/>
              <w:color w:val="000000"/>
            </w:rPr>
            <w:t>Generalidades del Plan Institucional</w:t>
          </w:r>
          <w:r w:rsidR="001000CA" w:rsidRPr="003C1075">
            <w:rPr>
              <w:rFonts w:ascii="Arial" w:hAnsi="Arial" w:cs="Arial"/>
              <w:color w:val="000000"/>
            </w:rPr>
            <w:tab/>
            <w:t>8</w:t>
          </w:r>
          <w:r w:rsidR="001000CA" w:rsidRPr="003C1075">
            <w:rPr>
              <w:rFonts w:ascii="Arial" w:hAnsi="Arial" w:cs="Arial"/>
            </w:rPr>
            <w:fldChar w:fldCharType="end"/>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ov3h208lnqnl">
            <w:r w:rsidR="001000CA" w:rsidRPr="003C1075">
              <w:rPr>
                <w:rFonts w:ascii="Arial" w:eastAsia="Arial" w:hAnsi="Arial" w:cs="Arial"/>
                <w:b/>
                <w:bCs/>
                <w:color w:val="000000"/>
              </w:rPr>
              <w:t>7.</w:t>
            </w:r>
          </w:hyperlink>
          <w:hyperlink w:anchor="_heading=h.ov3h208lnqnl">
            <w:r w:rsidR="001000CA" w:rsidRPr="003C1075">
              <w:rPr>
                <w:rFonts w:ascii="Arial" w:hAnsi="Arial" w:cs="Arial"/>
                <w:color w:val="000000"/>
              </w:rPr>
              <w:tab/>
            </w:r>
          </w:hyperlink>
          <w:r w:rsidR="001000CA" w:rsidRPr="003C1075">
            <w:rPr>
              <w:rFonts w:ascii="Arial" w:hAnsi="Arial" w:cs="Arial"/>
            </w:rPr>
            <w:fldChar w:fldCharType="begin"/>
          </w:r>
          <w:r w:rsidR="001000CA" w:rsidRPr="003C1075">
            <w:rPr>
              <w:rFonts w:ascii="Arial" w:hAnsi="Arial" w:cs="Arial"/>
            </w:rPr>
            <w:instrText xml:space="preserve"> PAGEREF _heading=h.ov3h208lnqnl \h </w:instrText>
          </w:r>
          <w:r w:rsidR="001000CA" w:rsidRPr="003C1075">
            <w:rPr>
              <w:rFonts w:ascii="Arial" w:hAnsi="Arial" w:cs="Arial"/>
            </w:rPr>
          </w:r>
          <w:r w:rsidR="001000CA" w:rsidRPr="003C1075">
            <w:rPr>
              <w:rFonts w:ascii="Arial" w:hAnsi="Arial" w:cs="Arial"/>
            </w:rPr>
            <w:fldChar w:fldCharType="separate"/>
          </w:r>
          <w:r w:rsidR="001000CA" w:rsidRPr="003C1075">
            <w:rPr>
              <w:rFonts w:ascii="Arial" w:eastAsia="Arial" w:hAnsi="Arial" w:cs="Arial"/>
              <w:b/>
              <w:bCs/>
              <w:color w:val="000000"/>
            </w:rPr>
            <w:t>Diagnóstico y justificación</w:t>
          </w:r>
          <w:r w:rsidR="001000CA" w:rsidRPr="003C1075">
            <w:rPr>
              <w:rFonts w:ascii="Arial" w:hAnsi="Arial" w:cs="Arial"/>
              <w:color w:val="000000"/>
            </w:rPr>
            <w:tab/>
            <w:t>10</w:t>
          </w:r>
          <w:r w:rsidR="001000CA" w:rsidRPr="003C1075">
            <w:rPr>
              <w:rFonts w:ascii="Arial" w:hAnsi="Arial" w:cs="Arial"/>
            </w:rPr>
            <w:fldChar w:fldCharType="end"/>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lmjymkjfggoc">
            <w:r w:rsidR="001000CA" w:rsidRPr="003C1075">
              <w:rPr>
                <w:rFonts w:ascii="Arial" w:eastAsia="Arial" w:hAnsi="Arial" w:cs="Arial"/>
                <w:b/>
                <w:bCs/>
                <w:color w:val="000000"/>
              </w:rPr>
              <w:t>8.</w:t>
            </w:r>
          </w:hyperlink>
          <w:hyperlink w:anchor="_heading=h.lmjymkjfggoc">
            <w:r w:rsidR="001000CA" w:rsidRPr="003C1075">
              <w:rPr>
                <w:rFonts w:ascii="Arial" w:hAnsi="Arial" w:cs="Arial"/>
                <w:color w:val="000000"/>
              </w:rPr>
              <w:tab/>
            </w:r>
          </w:hyperlink>
          <w:r w:rsidR="001000CA" w:rsidRPr="003C1075">
            <w:rPr>
              <w:rFonts w:ascii="Arial" w:hAnsi="Arial" w:cs="Arial"/>
            </w:rPr>
            <w:fldChar w:fldCharType="begin"/>
          </w:r>
          <w:r w:rsidR="001000CA" w:rsidRPr="003C1075">
            <w:rPr>
              <w:rFonts w:ascii="Arial" w:hAnsi="Arial" w:cs="Arial"/>
            </w:rPr>
            <w:instrText xml:space="preserve"> PAGEREF _heading=h.lmjymkjfggoc \h </w:instrText>
          </w:r>
          <w:r w:rsidR="001000CA" w:rsidRPr="003C1075">
            <w:rPr>
              <w:rFonts w:ascii="Arial" w:hAnsi="Arial" w:cs="Arial"/>
            </w:rPr>
          </w:r>
          <w:r w:rsidR="001000CA" w:rsidRPr="003C1075">
            <w:rPr>
              <w:rFonts w:ascii="Arial" w:hAnsi="Arial" w:cs="Arial"/>
            </w:rPr>
            <w:fldChar w:fldCharType="separate"/>
          </w:r>
          <w:r w:rsidR="001000CA" w:rsidRPr="003C1075">
            <w:rPr>
              <w:rFonts w:ascii="Arial" w:eastAsia="Arial" w:hAnsi="Arial" w:cs="Arial"/>
              <w:b/>
              <w:bCs/>
              <w:color w:val="000000"/>
            </w:rPr>
            <w:t>Marco conceptual</w:t>
          </w:r>
          <w:r w:rsidR="001000CA" w:rsidRPr="003C1075">
            <w:rPr>
              <w:rFonts w:ascii="Arial" w:hAnsi="Arial" w:cs="Arial"/>
              <w:color w:val="000000"/>
            </w:rPr>
            <w:tab/>
            <w:t>1</w:t>
          </w:r>
          <w:r w:rsidR="001000CA" w:rsidRPr="003C1075">
            <w:rPr>
              <w:rFonts w:ascii="Arial" w:hAnsi="Arial" w:cs="Arial"/>
            </w:rPr>
            <w:fldChar w:fldCharType="end"/>
          </w:r>
          <w:r w:rsidR="001239E9" w:rsidRPr="003C1075">
            <w:rPr>
              <w:rFonts w:ascii="Arial" w:hAnsi="Arial" w:cs="Arial"/>
            </w:rPr>
            <w:t>6</w:t>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9m7ml9xww5fy">
            <w:r w:rsidR="001000CA" w:rsidRPr="003C1075">
              <w:rPr>
                <w:rFonts w:ascii="Arial" w:eastAsia="Arial" w:hAnsi="Arial" w:cs="Arial"/>
                <w:b/>
                <w:bCs/>
                <w:color w:val="000000"/>
              </w:rPr>
              <w:t>9.</w:t>
            </w:r>
          </w:hyperlink>
          <w:hyperlink w:anchor="_heading=h.9m7ml9xww5fy">
            <w:r w:rsidR="001000CA" w:rsidRPr="003C1075">
              <w:rPr>
                <w:rFonts w:ascii="Arial" w:hAnsi="Arial" w:cs="Arial"/>
                <w:color w:val="000000"/>
              </w:rPr>
              <w:tab/>
            </w:r>
          </w:hyperlink>
          <w:r w:rsidR="001000CA" w:rsidRPr="003C1075">
            <w:rPr>
              <w:rFonts w:ascii="Arial" w:hAnsi="Arial" w:cs="Arial"/>
            </w:rPr>
            <w:fldChar w:fldCharType="begin"/>
          </w:r>
          <w:r w:rsidR="001000CA" w:rsidRPr="003C1075">
            <w:rPr>
              <w:rFonts w:ascii="Arial" w:hAnsi="Arial" w:cs="Arial"/>
            </w:rPr>
            <w:instrText xml:space="preserve"> PAGEREF _heading=h.9m7ml9xww5fy \h </w:instrText>
          </w:r>
          <w:r w:rsidR="001000CA" w:rsidRPr="003C1075">
            <w:rPr>
              <w:rFonts w:ascii="Arial" w:hAnsi="Arial" w:cs="Arial"/>
            </w:rPr>
          </w:r>
          <w:r w:rsidR="001000CA" w:rsidRPr="003C1075">
            <w:rPr>
              <w:rFonts w:ascii="Arial" w:hAnsi="Arial" w:cs="Arial"/>
            </w:rPr>
            <w:fldChar w:fldCharType="separate"/>
          </w:r>
          <w:r w:rsidR="001000CA" w:rsidRPr="003C1075">
            <w:rPr>
              <w:rFonts w:ascii="Arial" w:eastAsia="Arial" w:hAnsi="Arial" w:cs="Arial"/>
              <w:b/>
              <w:bCs/>
              <w:color w:val="000000"/>
            </w:rPr>
            <w:t>Resultados de la vigencia anterior</w:t>
          </w:r>
          <w:r w:rsidR="001000CA" w:rsidRPr="003C1075">
            <w:rPr>
              <w:rFonts w:ascii="Arial" w:hAnsi="Arial" w:cs="Arial"/>
              <w:color w:val="000000"/>
            </w:rPr>
            <w:tab/>
            <w:t>1</w:t>
          </w:r>
          <w:r w:rsidR="001000CA" w:rsidRPr="003C1075">
            <w:rPr>
              <w:rFonts w:ascii="Arial" w:hAnsi="Arial" w:cs="Arial"/>
            </w:rPr>
            <w:fldChar w:fldCharType="end"/>
          </w:r>
          <w:r w:rsidR="001239E9" w:rsidRPr="003C1075">
            <w:rPr>
              <w:rFonts w:ascii="Arial" w:hAnsi="Arial" w:cs="Arial"/>
            </w:rPr>
            <w:t>7</w:t>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3csyh7grenss">
            <w:r w:rsidR="001000CA" w:rsidRPr="003C1075">
              <w:rPr>
                <w:rFonts w:ascii="Arial" w:eastAsia="Arial" w:hAnsi="Arial" w:cs="Arial"/>
                <w:b/>
                <w:bCs/>
                <w:color w:val="000000"/>
              </w:rPr>
              <w:t>10.</w:t>
            </w:r>
          </w:hyperlink>
          <w:hyperlink w:anchor="_heading=h.3csyh7grenss">
            <w:r w:rsidR="001000CA" w:rsidRPr="003C1075">
              <w:rPr>
                <w:rFonts w:ascii="Arial" w:hAnsi="Arial" w:cs="Arial"/>
                <w:color w:val="000000"/>
              </w:rPr>
              <w:tab/>
            </w:r>
          </w:hyperlink>
          <w:r w:rsidR="001000CA" w:rsidRPr="003C1075">
            <w:rPr>
              <w:rFonts w:ascii="Arial" w:hAnsi="Arial" w:cs="Arial"/>
            </w:rPr>
            <w:fldChar w:fldCharType="begin"/>
          </w:r>
          <w:r w:rsidR="001000CA" w:rsidRPr="003C1075">
            <w:rPr>
              <w:rFonts w:ascii="Arial" w:hAnsi="Arial" w:cs="Arial"/>
            </w:rPr>
            <w:instrText xml:space="preserve"> PAGEREF _heading=h.3csyh7grenss \h </w:instrText>
          </w:r>
          <w:r w:rsidR="001000CA" w:rsidRPr="003C1075">
            <w:rPr>
              <w:rFonts w:ascii="Arial" w:hAnsi="Arial" w:cs="Arial"/>
            </w:rPr>
          </w:r>
          <w:r w:rsidR="001000CA" w:rsidRPr="003C1075">
            <w:rPr>
              <w:rFonts w:ascii="Arial" w:hAnsi="Arial" w:cs="Arial"/>
            </w:rPr>
            <w:fldChar w:fldCharType="separate"/>
          </w:r>
          <w:r w:rsidR="001000CA" w:rsidRPr="003C1075">
            <w:rPr>
              <w:rFonts w:ascii="Arial" w:eastAsia="Arial" w:hAnsi="Arial" w:cs="Arial"/>
              <w:b/>
              <w:bCs/>
              <w:color w:val="000000"/>
            </w:rPr>
            <w:t>Gestión Plan vigencia actual</w:t>
          </w:r>
          <w:r w:rsidR="001000CA" w:rsidRPr="003C1075">
            <w:rPr>
              <w:rFonts w:ascii="Arial" w:hAnsi="Arial" w:cs="Arial"/>
              <w:color w:val="000000"/>
            </w:rPr>
            <w:tab/>
            <w:t>1</w:t>
          </w:r>
          <w:r w:rsidR="001000CA" w:rsidRPr="003C1075">
            <w:rPr>
              <w:rFonts w:ascii="Arial" w:hAnsi="Arial" w:cs="Arial"/>
            </w:rPr>
            <w:fldChar w:fldCharType="end"/>
          </w:r>
          <w:r w:rsidR="001239E9" w:rsidRPr="003C1075">
            <w:rPr>
              <w:rFonts w:ascii="Arial" w:hAnsi="Arial" w:cs="Arial"/>
            </w:rPr>
            <w:t>9</w:t>
          </w:r>
        </w:p>
        <w:p w:rsidR="00554FEE" w:rsidRPr="003C1075" w:rsidRDefault="00D47725">
          <w:pPr>
            <w:pBdr>
              <w:top w:val="nil"/>
              <w:left w:val="nil"/>
              <w:bottom w:val="nil"/>
              <w:right w:val="nil"/>
              <w:between w:val="nil"/>
            </w:pBdr>
            <w:tabs>
              <w:tab w:val="left" w:pos="440"/>
              <w:tab w:val="right" w:pos="9202"/>
            </w:tabs>
            <w:spacing w:after="100" w:line="480" w:lineRule="auto"/>
            <w:rPr>
              <w:rFonts w:ascii="Arial" w:hAnsi="Arial" w:cs="Arial"/>
              <w:color w:val="000000"/>
            </w:rPr>
          </w:pPr>
          <w:hyperlink w:anchor="_heading=h.a1q89cxgr3v">
            <w:r w:rsidR="001000CA" w:rsidRPr="003C1075">
              <w:rPr>
                <w:rFonts w:ascii="Arial" w:eastAsia="Arial" w:hAnsi="Arial" w:cs="Arial"/>
                <w:b/>
                <w:bCs/>
                <w:color w:val="000000"/>
              </w:rPr>
              <w:t>11. Control de cambios</w:t>
            </w:r>
          </w:hyperlink>
          <w:hyperlink w:anchor="_heading=h.a1q89cxgr3v">
            <w:r w:rsidR="001000CA" w:rsidRPr="003C1075">
              <w:rPr>
                <w:rFonts w:ascii="Arial" w:hAnsi="Arial" w:cs="Arial"/>
                <w:color w:val="000000"/>
              </w:rPr>
              <w:tab/>
            </w:r>
          </w:hyperlink>
          <w:r w:rsidR="001239E9" w:rsidRPr="003C1075">
            <w:rPr>
              <w:rFonts w:ascii="Arial" w:hAnsi="Arial" w:cs="Arial"/>
              <w:color w:val="000000"/>
            </w:rPr>
            <w:t>23</w:t>
          </w:r>
        </w:p>
        <w:p w:rsidR="00554FEE" w:rsidRPr="003C1075" w:rsidRDefault="001000CA">
          <w:pPr>
            <w:rPr>
              <w:rFonts w:ascii="Arial" w:hAnsi="Arial" w:cs="Arial"/>
            </w:rPr>
          </w:pPr>
          <w:r w:rsidRPr="003C1075">
            <w:rPr>
              <w:rFonts w:ascii="Arial" w:hAnsi="Arial" w:cs="Arial"/>
            </w:rPr>
            <w:fldChar w:fldCharType="end"/>
          </w:r>
        </w:p>
      </w:sdtContent>
    </w:sdt>
    <w:p w:rsidR="00554FEE" w:rsidRPr="003C1075" w:rsidRDefault="00554FEE">
      <w:pPr>
        <w:rPr>
          <w:rFonts w:ascii="Arial" w:hAnsi="Arial" w:cs="Arial"/>
        </w:rPr>
      </w:pPr>
    </w:p>
    <w:p w:rsidR="00554FEE" w:rsidRPr="003C1075" w:rsidRDefault="00554FEE">
      <w:pPr>
        <w:rPr>
          <w:rFonts w:ascii="Arial" w:hAnsi="Arial" w:cs="Arial"/>
        </w:rPr>
      </w:pPr>
    </w:p>
    <w:p w:rsidR="00554FEE" w:rsidRPr="003C1075" w:rsidRDefault="00554FEE">
      <w:pPr>
        <w:rPr>
          <w:rFonts w:ascii="Arial" w:hAnsi="Arial" w:cs="Arial"/>
        </w:rPr>
      </w:pPr>
    </w:p>
    <w:p w:rsidR="00554FEE" w:rsidRPr="003C1075" w:rsidRDefault="00554FEE">
      <w:pPr>
        <w:rPr>
          <w:rFonts w:ascii="Arial" w:hAnsi="Arial" w:cs="Arial"/>
          <w:sz w:val="24"/>
          <w:szCs w:val="24"/>
        </w:rPr>
      </w:pPr>
    </w:p>
    <w:p w:rsidR="00554FEE" w:rsidRPr="003C1075" w:rsidRDefault="00554FEE">
      <w:pPr>
        <w:rPr>
          <w:rFonts w:ascii="Arial" w:hAnsi="Arial" w:cs="Arial"/>
          <w:sz w:val="24"/>
          <w:szCs w:val="24"/>
        </w:rPr>
      </w:pPr>
    </w:p>
    <w:p w:rsidR="00554FEE" w:rsidRPr="003C1075" w:rsidRDefault="00554FEE">
      <w:pPr>
        <w:rPr>
          <w:rFonts w:ascii="Arial" w:hAnsi="Arial" w:cs="Arial"/>
          <w:sz w:val="24"/>
          <w:szCs w:val="24"/>
        </w:rPr>
      </w:pPr>
    </w:p>
    <w:p w:rsidR="00554FEE" w:rsidRPr="003C1075" w:rsidRDefault="00554FEE">
      <w:pPr>
        <w:rPr>
          <w:rFonts w:ascii="Arial" w:hAnsi="Arial" w:cs="Arial"/>
          <w:sz w:val="24"/>
          <w:szCs w:val="24"/>
        </w:rPr>
      </w:pP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43" w:name="_heading=h.5ygw2010i6kj" w:colFirst="0" w:colLast="0"/>
      <w:bookmarkEnd w:id="43"/>
      <w:r w:rsidRPr="003C1075">
        <w:rPr>
          <w:rFonts w:ascii="Arial" w:hAnsi="Arial" w:cs="Arial"/>
          <w:b/>
          <w:bCs/>
          <w:color w:val="000000"/>
          <w:sz w:val="24"/>
          <w:szCs w:val="24"/>
        </w:rPr>
        <w:lastRenderedPageBreak/>
        <w:t>Introducción</w:t>
      </w:r>
    </w:p>
    <w:p w:rsidR="00554FEE" w:rsidRPr="003C1075" w:rsidRDefault="00554FEE">
      <w:pPr>
        <w:jc w:val="both"/>
        <w:rPr>
          <w:rFonts w:ascii="Arial" w:hAnsi="Arial" w:cs="Arial"/>
          <w:sz w:val="24"/>
          <w:szCs w:val="24"/>
        </w:rPr>
      </w:pPr>
    </w:p>
    <w:p w:rsidR="00554FEE" w:rsidRPr="003C1075" w:rsidRDefault="001000CA">
      <w:pPr>
        <w:jc w:val="both"/>
        <w:rPr>
          <w:rFonts w:ascii="Arial" w:hAnsi="Arial" w:cs="Arial"/>
          <w:sz w:val="24"/>
          <w:szCs w:val="24"/>
        </w:rPr>
      </w:pPr>
      <w:r w:rsidRPr="003C1075">
        <w:rPr>
          <w:rFonts w:ascii="Arial" w:hAnsi="Arial" w:cs="Arial"/>
          <w:sz w:val="24"/>
          <w:szCs w:val="24"/>
        </w:rPr>
        <w:t xml:space="preserve">El Instituto Colombiano de Antropología e Historia (ICANH) asume la gestión ambiental no solo como un cumplimiento normativo, sino como una extensión natural de su misión institucional. Entendiendo que el patrimonio arqueológico, histórico y antropológico de la nación es inseparable del territorio y los ecosistemas que lo resguardan, el presente </w:t>
      </w:r>
      <w:r w:rsidRPr="003C1075">
        <w:rPr>
          <w:rFonts w:ascii="Arial" w:hAnsi="Arial" w:cs="Arial"/>
          <w:b/>
          <w:bCs/>
          <w:sz w:val="24"/>
          <w:szCs w:val="24"/>
        </w:rPr>
        <w:t>Plan Institucional de Gestión Ambiental (PIGA)</w:t>
      </w:r>
      <w:r w:rsidRPr="003C1075">
        <w:rPr>
          <w:rFonts w:ascii="Arial" w:hAnsi="Arial" w:cs="Arial"/>
          <w:sz w:val="24"/>
          <w:szCs w:val="24"/>
        </w:rPr>
        <w:t xml:space="preserve"> se constituye como la hoja de ruta para armonizar nuestras operaciones con la sostenibilidad del entorno.</w:t>
      </w:r>
    </w:p>
    <w:p w:rsidR="00554FEE" w:rsidRPr="003C1075" w:rsidRDefault="001000CA">
      <w:pPr>
        <w:jc w:val="both"/>
        <w:rPr>
          <w:rFonts w:ascii="Arial" w:hAnsi="Arial" w:cs="Arial"/>
          <w:sz w:val="24"/>
          <w:szCs w:val="24"/>
        </w:rPr>
      </w:pPr>
      <w:r w:rsidRPr="003C1075">
        <w:rPr>
          <w:rFonts w:ascii="Arial" w:hAnsi="Arial" w:cs="Arial"/>
          <w:sz w:val="24"/>
          <w:szCs w:val="24"/>
        </w:rPr>
        <w:t xml:space="preserve">A través de este plan, el ICANH se compromete a transitar hacia un modelo de </w:t>
      </w:r>
      <w:proofErr w:type="spellStart"/>
      <w:r w:rsidRPr="003C1075">
        <w:rPr>
          <w:rFonts w:ascii="Arial" w:hAnsi="Arial" w:cs="Arial"/>
          <w:b/>
          <w:bCs/>
          <w:sz w:val="24"/>
          <w:szCs w:val="24"/>
        </w:rPr>
        <w:t>ecoeficiencia</w:t>
      </w:r>
      <w:proofErr w:type="spellEnd"/>
      <w:r w:rsidRPr="003C1075">
        <w:rPr>
          <w:rFonts w:ascii="Arial" w:hAnsi="Arial" w:cs="Arial"/>
          <w:sz w:val="24"/>
          <w:szCs w:val="24"/>
        </w:rPr>
        <w:t>, promoviendo el uso racional de los recursos naturales, la gestión integral de residuos y la adopción de una cultura de consumo responsable, alineándose así con los Objetivos de Desarrollo Sostenible (ODS) y las políticas nacionales de austeridad y eficiencia en el gasto público.</w:t>
      </w:r>
    </w:p>
    <w:p w:rsidR="00554FEE" w:rsidRPr="003C1075" w:rsidRDefault="00554FEE">
      <w:pPr>
        <w:jc w:val="both"/>
        <w:rPr>
          <w:rFonts w:ascii="Arial" w:hAnsi="Arial" w:cs="Arial"/>
          <w:i/>
          <w:iCs/>
          <w:sz w:val="24"/>
          <w:szCs w:val="24"/>
        </w:rPr>
      </w:pP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44" w:name="_heading=h.lqu02yoowgtt" w:colFirst="0" w:colLast="0"/>
      <w:bookmarkEnd w:id="44"/>
      <w:r w:rsidRPr="003C1075">
        <w:rPr>
          <w:rFonts w:ascii="Arial" w:hAnsi="Arial" w:cs="Arial"/>
          <w:b/>
          <w:bCs/>
          <w:color w:val="000000"/>
          <w:sz w:val="24"/>
          <w:szCs w:val="24"/>
        </w:rPr>
        <w:t>Marco normativo</w:t>
      </w:r>
    </w:p>
    <w:p w:rsidR="00554FEE" w:rsidRPr="003C1075" w:rsidRDefault="00554FEE">
      <w:pPr>
        <w:jc w:val="both"/>
        <w:rPr>
          <w:rFonts w:ascii="Arial" w:hAnsi="Arial" w:cs="Arial"/>
          <w:sz w:val="24"/>
          <w:szCs w:val="24"/>
        </w:rPr>
      </w:pPr>
    </w:p>
    <w:tbl>
      <w:tblPr>
        <w:tblStyle w:val="afb"/>
        <w:tblW w:w="920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7506"/>
      </w:tblGrid>
      <w:tr w:rsidR="00554FEE" w:rsidRPr="003C1075">
        <w:tc>
          <w:tcPr>
            <w:tcW w:w="1696" w:type="dxa"/>
          </w:tcPr>
          <w:p w:rsidR="00554FEE" w:rsidRPr="003C1075" w:rsidRDefault="001000CA">
            <w:pPr>
              <w:jc w:val="center"/>
              <w:rPr>
                <w:rFonts w:ascii="Arial" w:hAnsi="Arial" w:cs="Arial"/>
                <w:b/>
                <w:bCs/>
                <w:sz w:val="24"/>
                <w:szCs w:val="24"/>
              </w:rPr>
            </w:pPr>
            <w:r w:rsidRPr="003C1075">
              <w:rPr>
                <w:rFonts w:ascii="Arial" w:hAnsi="Arial" w:cs="Arial"/>
                <w:b/>
                <w:bCs/>
                <w:sz w:val="24"/>
                <w:szCs w:val="24"/>
              </w:rPr>
              <w:t>Norma</w:t>
            </w:r>
          </w:p>
        </w:tc>
        <w:tc>
          <w:tcPr>
            <w:tcW w:w="7506" w:type="dxa"/>
          </w:tcPr>
          <w:p w:rsidR="00554FEE" w:rsidRPr="003C1075" w:rsidRDefault="001000CA">
            <w:pPr>
              <w:jc w:val="center"/>
              <w:rPr>
                <w:rFonts w:ascii="Arial" w:hAnsi="Arial" w:cs="Arial"/>
                <w:b/>
                <w:bCs/>
                <w:sz w:val="24"/>
                <w:szCs w:val="24"/>
              </w:rPr>
            </w:pPr>
            <w:r w:rsidRPr="003C1075">
              <w:rPr>
                <w:rFonts w:ascii="Arial" w:hAnsi="Arial" w:cs="Arial"/>
                <w:b/>
                <w:bCs/>
                <w:sz w:val="24"/>
                <w:szCs w:val="24"/>
              </w:rPr>
              <w:t>Descripción</w:t>
            </w:r>
          </w:p>
        </w:tc>
      </w:tr>
      <w:tr w:rsidR="00554FEE" w:rsidRPr="003C1075">
        <w:tc>
          <w:tcPr>
            <w:tcW w:w="1696" w:type="dxa"/>
          </w:tcPr>
          <w:p w:rsidR="00554FEE" w:rsidRPr="003C1075" w:rsidRDefault="001000CA">
            <w:pPr>
              <w:jc w:val="both"/>
              <w:rPr>
                <w:rFonts w:ascii="Arial" w:hAnsi="Arial" w:cs="Arial"/>
                <w:sz w:val="24"/>
                <w:szCs w:val="24"/>
              </w:rPr>
            </w:pPr>
            <w:r w:rsidRPr="003C1075">
              <w:rPr>
                <w:rFonts w:ascii="Arial" w:hAnsi="Arial" w:cs="Arial"/>
                <w:sz w:val="24"/>
                <w:szCs w:val="24"/>
              </w:rPr>
              <w:t>Decreto 1076 de 2015</w:t>
            </w:r>
          </w:p>
        </w:tc>
        <w:tc>
          <w:tcPr>
            <w:tcW w:w="7506" w:type="dxa"/>
          </w:tcPr>
          <w:p w:rsidR="00554FEE" w:rsidRPr="003C1075" w:rsidRDefault="001000CA">
            <w:pPr>
              <w:jc w:val="both"/>
              <w:rPr>
                <w:rFonts w:ascii="Arial" w:hAnsi="Arial" w:cs="Arial"/>
                <w:sz w:val="24"/>
                <w:szCs w:val="24"/>
              </w:rPr>
            </w:pPr>
            <w:r w:rsidRPr="003C1075">
              <w:rPr>
                <w:rFonts w:ascii="Arial" w:hAnsi="Arial" w:cs="Arial"/>
                <w:sz w:val="24"/>
                <w:szCs w:val="24"/>
              </w:rPr>
              <w:t>Decreto Único Reglamentario del Sector Ambiente y Desarrollo Sostenible. (Compila la mayoría de los decretos anteriores sobre aire, agua, residuos y licencias).</w:t>
            </w:r>
          </w:p>
        </w:tc>
      </w:tr>
      <w:tr w:rsidR="00554FEE" w:rsidRPr="003C1075">
        <w:tc>
          <w:tcPr>
            <w:tcW w:w="1696" w:type="dxa"/>
          </w:tcPr>
          <w:p w:rsidR="00554FEE" w:rsidRPr="003C1075" w:rsidRDefault="001000CA">
            <w:pPr>
              <w:jc w:val="both"/>
              <w:rPr>
                <w:rFonts w:ascii="Arial" w:hAnsi="Arial" w:cs="Arial"/>
                <w:sz w:val="24"/>
                <w:szCs w:val="24"/>
              </w:rPr>
            </w:pPr>
            <w:r w:rsidRPr="003C1075">
              <w:rPr>
                <w:rFonts w:ascii="Arial" w:hAnsi="Arial" w:cs="Arial"/>
                <w:sz w:val="24"/>
                <w:szCs w:val="24"/>
              </w:rPr>
              <w:t>Decreto 1499 de 2017</w:t>
            </w:r>
          </w:p>
        </w:tc>
        <w:tc>
          <w:tcPr>
            <w:tcW w:w="7506" w:type="dxa"/>
          </w:tcPr>
          <w:p w:rsidR="00554FEE" w:rsidRPr="003C1075" w:rsidRDefault="001000CA">
            <w:pPr>
              <w:jc w:val="both"/>
              <w:rPr>
                <w:rFonts w:ascii="Arial" w:hAnsi="Arial" w:cs="Arial"/>
                <w:sz w:val="24"/>
                <w:szCs w:val="24"/>
              </w:rPr>
            </w:pPr>
            <w:r w:rsidRPr="003C1075">
              <w:rPr>
                <w:rFonts w:ascii="Arial" w:hAnsi="Arial" w:cs="Arial"/>
                <w:sz w:val="24"/>
                <w:szCs w:val="24"/>
              </w:rPr>
              <w:t>Por medio del cual se actualiza el Modelo Integrado de Planeación y Gestión (MIPG). (Establece que la gestión ambiental es una política transversal del desempeño institucional)</w:t>
            </w:r>
          </w:p>
        </w:tc>
      </w:tr>
      <w:tr w:rsidR="00554FEE" w:rsidRPr="003C1075">
        <w:tc>
          <w:tcPr>
            <w:tcW w:w="1696" w:type="dxa"/>
          </w:tcPr>
          <w:p w:rsidR="00554FEE" w:rsidRPr="003C1075" w:rsidRDefault="001000CA">
            <w:pPr>
              <w:jc w:val="both"/>
              <w:rPr>
                <w:rFonts w:ascii="Arial" w:hAnsi="Arial" w:cs="Arial"/>
                <w:sz w:val="24"/>
                <w:szCs w:val="24"/>
              </w:rPr>
            </w:pPr>
            <w:r w:rsidRPr="003C1075">
              <w:rPr>
                <w:rFonts w:ascii="Arial" w:hAnsi="Arial" w:cs="Arial"/>
                <w:sz w:val="24"/>
                <w:szCs w:val="24"/>
              </w:rPr>
              <w:t>Decreto 2106 de 2019</w:t>
            </w:r>
          </w:p>
        </w:tc>
        <w:tc>
          <w:tcPr>
            <w:tcW w:w="7506" w:type="dxa"/>
          </w:tcPr>
          <w:p w:rsidR="00554FEE" w:rsidRPr="003C1075" w:rsidRDefault="001000CA">
            <w:pPr>
              <w:jc w:val="both"/>
              <w:rPr>
                <w:rFonts w:ascii="Arial" w:hAnsi="Arial" w:cs="Arial"/>
                <w:sz w:val="24"/>
                <w:szCs w:val="24"/>
              </w:rPr>
            </w:pPr>
            <w:r w:rsidRPr="003C1075">
              <w:rPr>
                <w:rFonts w:ascii="Arial" w:hAnsi="Arial" w:cs="Arial"/>
                <w:sz w:val="24"/>
                <w:szCs w:val="24"/>
              </w:rPr>
              <w:t>Normas para simplificar, suprimir y reformar trámites (Base legal para la política de Cero Papel y racionalización).</w:t>
            </w:r>
          </w:p>
        </w:tc>
      </w:tr>
    </w:tbl>
    <w:p w:rsidR="00554FEE" w:rsidRPr="003C1075" w:rsidRDefault="001000CA">
      <w:pPr>
        <w:spacing w:after="0"/>
        <w:jc w:val="both"/>
        <w:rPr>
          <w:rFonts w:ascii="Arial" w:hAnsi="Arial" w:cs="Arial"/>
          <w:i/>
          <w:iCs/>
          <w:sz w:val="24"/>
          <w:szCs w:val="24"/>
        </w:rPr>
      </w:pPr>
      <w:r w:rsidRPr="003C1075">
        <w:rPr>
          <w:rFonts w:ascii="Arial" w:hAnsi="Arial" w:cs="Arial"/>
          <w:i/>
          <w:iCs/>
          <w:sz w:val="24"/>
          <w:szCs w:val="24"/>
        </w:rPr>
        <w:t>Tabla 1. Marco normativo Plan Institucional Gestión Ambiental</w:t>
      </w:r>
    </w:p>
    <w:p w:rsidR="00554FEE" w:rsidRPr="003C1075" w:rsidRDefault="00554FEE">
      <w:pPr>
        <w:spacing w:after="0"/>
        <w:jc w:val="both"/>
        <w:rPr>
          <w:rFonts w:ascii="Arial" w:hAnsi="Arial" w:cs="Arial"/>
          <w:sz w:val="24"/>
          <w:szCs w:val="24"/>
        </w:rPr>
      </w:pPr>
    </w:p>
    <w:p w:rsidR="00554FEE" w:rsidRPr="003C1075" w:rsidRDefault="00554FEE">
      <w:pPr>
        <w:spacing w:after="0"/>
        <w:jc w:val="both"/>
        <w:rPr>
          <w:rFonts w:ascii="Arial" w:hAnsi="Arial" w:cs="Arial"/>
          <w:sz w:val="24"/>
          <w:szCs w:val="24"/>
        </w:rPr>
      </w:pPr>
    </w:p>
    <w:p w:rsidR="00554FEE" w:rsidRPr="003C1075" w:rsidRDefault="00554FEE">
      <w:pPr>
        <w:spacing w:after="0"/>
        <w:jc w:val="both"/>
        <w:rPr>
          <w:rFonts w:ascii="Arial" w:hAnsi="Arial" w:cs="Arial"/>
          <w:sz w:val="24"/>
          <w:szCs w:val="24"/>
        </w:rPr>
      </w:pPr>
    </w:p>
    <w:p w:rsidR="00554FEE" w:rsidRPr="003C1075" w:rsidRDefault="00554FEE">
      <w:pPr>
        <w:spacing w:after="0"/>
        <w:jc w:val="both"/>
        <w:rPr>
          <w:rFonts w:ascii="Arial" w:hAnsi="Arial" w:cs="Arial"/>
          <w:sz w:val="24"/>
          <w:szCs w:val="24"/>
        </w:rPr>
      </w:pP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45" w:name="_heading=h.tkpzkr8v6vkl" w:colFirst="0" w:colLast="0"/>
      <w:bookmarkEnd w:id="45"/>
      <w:r w:rsidRPr="003C1075">
        <w:rPr>
          <w:rFonts w:ascii="Arial" w:hAnsi="Arial" w:cs="Arial"/>
          <w:b/>
          <w:bCs/>
          <w:color w:val="000000"/>
          <w:sz w:val="24"/>
          <w:szCs w:val="24"/>
        </w:rPr>
        <w:t>Objetivos</w:t>
      </w:r>
    </w:p>
    <w:p w:rsidR="00554FEE" w:rsidRPr="003C1075" w:rsidRDefault="001000CA">
      <w:pPr>
        <w:spacing w:after="0" w:line="240" w:lineRule="auto"/>
        <w:ind w:left="720"/>
        <w:jc w:val="both"/>
        <w:rPr>
          <w:rFonts w:ascii="Arial" w:hAnsi="Arial" w:cs="Arial"/>
          <w:b/>
          <w:bCs/>
          <w:sz w:val="24"/>
          <w:szCs w:val="24"/>
        </w:rPr>
      </w:pPr>
      <w:r w:rsidRPr="003C1075">
        <w:rPr>
          <w:rFonts w:ascii="Arial" w:hAnsi="Arial" w:cs="Arial"/>
          <w:b/>
          <w:bCs/>
          <w:sz w:val="24"/>
          <w:szCs w:val="24"/>
        </w:rPr>
        <w:t>3.1. Objetivo general:</w:t>
      </w:r>
    </w:p>
    <w:p w:rsidR="00554FEE" w:rsidRPr="003C1075" w:rsidRDefault="00554FEE">
      <w:pPr>
        <w:spacing w:after="0" w:line="240" w:lineRule="auto"/>
        <w:ind w:left="720"/>
        <w:jc w:val="both"/>
        <w:rPr>
          <w:rFonts w:ascii="Arial" w:hAnsi="Arial" w:cs="Arial"/>
          <w:b/>
          <w:bCs/>
          <w:sz w:val="24"/>
          <w:szCs w:val="24"/>
        </w:rPr>
      </w:pPr>
    </w:p>
    <w:p w:rsidR="00554FEE" w:rsidRPr="003C1075" w:rsidRDefault="001000CA">
      <w:pPr>
        <w:spacing w:after="0" w:line="240" w:lineRule="auto"/>
        <w:jc w:val="both"/>
        <w:rPr>
          <w:rFonts w:ascii="Arial" w:hAnsi="Arial" w:cs="Arial"/>
          <w:sz w:val="24"/>
          <w:szCs w:val="24"/>
          <w:highlight w:val="lightGray"/>
        </w:rPr>
      </w:pPr>
      <w:r w:rsidRPr="003C1075">
        <w:rPr>
          <w:rFonts w:ascii="Arial" w:hAnsi="Arial" w:cs="Arial"/>
          <w:sz w:val="24"/>
          <w:szCs w:val="24"/>
        </w:rPr>
        <w:lastRenderedPageBreak/>
        <w:t>Promover la gestión ambiental institucional mediante el uso eficiente del agua y la energía, y la adecuada gestión de residuos sólidos en todas las sedes y actividades, administrativas y misionales del ICANH, con el fin de contribuir al cumplimiento de la normatividad vigente y al fortalecimiento de una cultura ambiental sostenible.</w:t>
      </w:r>
    </w:p>
    <w:p w:rsidR="00554FEE" w:rsidRPr="003C1075" w:rsidRDefault="00554FEE">
      <w:pPr>
        <w:spacing w:after="0" w:line="240" w:lineRule="auto"/>
        <w:ind w:left="720"/>
        <w:jc w:val="both"/>
        <w:rPr>
          <w:rFonts w:ascii="Arial" w:hAnsi="Arial" w:cs="Arial"/>
          <w:i/>
          <w:iCs/>
          <w:sz w:val="24"/>
          <w:szCs w:val="24"/>
          <w:highlight w:val="lightGray"/>
        </w:rPr>
      </w:pPr>
    </w:p>
    <w:p w:rsidR="00554FEE" w:rsidRPr="003C1075" w:rsidRDefault="001000CA">
      <w:pPr>
        <w:spacing w:after="0" w:line="240" w:lineRule="auto"/>
        <w:ind w:left="720"/>
        <w:jc w:val="both"/>
        <w:rPr>
          <w:rFonts w:ascii="Arial" w:hAnsi="Arial" w:cs="Arial"/>
          <w:b/>
          <w:bCs/>
          <w:color w:val="000000"/>
          <w:sz w:val="24"/>
          <w:szCs w:val="24"/>
        </w:rPr>
      </w:pPr>
      <w:r w:rsidRPr="003C1075">
        <w:rPr>
          <w:rFonts w:ascii="Arial" w:hAnsi="Arial" w:cs="Arial"/>
          <w:b/>
          <w:bCs/>
          <w:color w:val="000000"/>
          <w:sz w:val="24"/>
          <w:szCs w:val="24"/>
        </w:rPr>
        <w:t>3.2. Objetivos específicos:</w:t>
      </w:r>
    </w:p>
    <w:p w:rsidR="00554FEE" w:rsidRPr="003C1075" w:rsidRDefault="00554FEE">
      <w:pPr>
        <w:spacing w:after="0" w:line="240" w:lineRule="auto"/>
        <w:ind w:left="720"/>
        <w:jc w:val="both"/>
        <w:rPr>
          <w:rFonts w:ascii="Arial" w:hAnsi="Arial" w:cs="Arial"/>
          <w:b/>
          <w:bCs/>
          <w:sz w:val="24"/>
          <w:szCs w:val="24"/>
        </w:rPr>
      </w:pPr>
    </w:p>
    <w:p w:rsidR="00554FEE" w:rsidRPr="003C1075" w:rsidRDefault="001000CA">
      <w:pPr>
        <w:numPr>
          <w:ilvl w:val="0"/>
          <w:numId w:val="12"/>
        </w:numPr>
        <w:pBdr>
          <w:top w:val="nil"/>
          <w:left w:val="nil"/>
          <w:bottom w:val="nil"/>
          <w:right w:val="nil"/>
          <w:between w:val="nil"/>
        </w:pBdr>
        <w:spacing w:after="0" w:line="240" w:lineRule="auto"/>
        <w:jc w:val="both"/>
        <w:rPr>
          <w:rFonts w:ascii="Arial" w:hAnsi="Arial" w:cs="Arial"/>
          <w:color w:val="000000"/>
          <w:sz w:val="24"/>
          <w:szCs w:val="24"/>
        </w:rPr>
      </w:pPr>
      <w:r w:rsidRPr="003C1075">
        <w:rPr>
          <w:rFonts w:ascii="Arial" w:hAnsi="Arial" w:cs="Arial"/>
          <w:color w:val="000000"/>
          <w:sz w:val="24"/>
          <w:szCs w:val="24"/>
        </w:rPr>
        <w:t>Implementar estrategias de control y tecnologías de bajo consumo que permitan optimizar el uso de agua y energía eléctrica tanto en las sedes administrativas como en las infraestructuras de los Parques Arqueológicos.</w:t>
      </w:r>
    </w:p>
    <w:p w:rsidR="00554FEE" w:rsidRPr="003C1075" w:rsidRDefault="001000CA">
      <w:pPr>
        <w:numPr>
          <w:ilvl w:val="0"/>
          <w:numId w:val="12"/>
        </w:numPr>
        <w:pBdr>
          <w:top w:val="nil"/>
          <w:left w:val="nil"/>
          <w:bottom w:val="nil"/>
          <w:right w:val="nil"/>
          <w:between w:val="nil"/>
        </w:pBdr>
        <w:spacing w:after="0" w:line="240" w:lineRule="auto"/>
        <w:jc w:val="both"/>
        <w:rPr>
          <w:rFonts w:ascii="Arial" w:hAnsi="Arial" w:cs="Arial"/>
          <w:color w:val="000000"/>
          <w:sz w:val="24"/>
          <w:szCs w:val="24"/>
        </w:rPr>
      </w:pPr>
      <w:r w:rsidRPr="003C1075">
        <w:rPr>
          <w:rFonts w:ascii="Arial" w:hAnsi="Arial" w:cs="Arial"/>
          <w:color w:val="000000"/>
          <w:sz w:val="24"/>
          <w:szCs w:val="24"/>
        </w:rPr>
        <w:t>Garantizar la adecuada separación, almacenamiento y disposición final de los residuos sólidos convencionales y peligrosos (químicos/biológicos), derivados de las labores de oficina, procesos de laboratorio y atención a visitantes.</w:t>
      </w:r>
    </w:p>
    <w:p w:rsidR="00554FEE" w:rsidRPr="003C1075" w:rsidRDefault="001000CA">
      <w:pPr>
        <w:numPr>
          <w:ilvl w:val="0"/>
          <w:numId w:val="12"/>
        </w:numPr>
        <w:pBdr>
          <w:top w:val="nil"/>
          <w:left w:val="nil"/>
          <w:bottom w:val="nil"/>
          <w:right w:val="nil"/>
          <w:between w:val="nil"/>
        </w:pBdr>
        <w:spacing w:after="0" w:line="240" w:lineRule="auto"/>
        <w:jc w:val="both"/>
        <w:rPr>
          <w:rFonts w:ascii="Arial" w:hAnsi="Arial" w:cs="Arial"/>
          <w:color w:val="000000"/>
          <w:sz w:val="24"/>
          <w:szCs w:val="24"/>
        </w:rPr>
      </w:pPr>
      <w:r w:rsidRPr="003C1075">
        <w:rPr>
          <w:rFonts w:ascii="Arial" w:hAnsi="Arial" w:cs="Arial"/>
          <w:color w:val="000000"/>
          <w:sz w:val="24"/>
          <w:szCs w:val="24"/>
        </w:rPr>
        <w:t>Fortalecer las competencias y la toma de conciencia ambiental de los colaboradores, contratistas y visitantes a través de campañas de sensibilización sobre consumo responsable y protección del entorno.</w:t>
      </w:r>
    </w:p>
    <w:p w:rsidR="00554FEE" w:rsidRPr="003C1075" w:rsidRDefault="00554FEE">
      <w:pPr>
        <w:ind w:left="720"/>
        <w:jc w:val="both"/>
        <w:rPr>
          <w:rFonts w:ascii="Arial" w:hAnsi="Arial" w:cs="Arial"/>
          <w:sz w:val="24"/>
          <w:szCs w:val="24"/>
        </w:rPr>
      </w:pP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46" w:name="_heading=h.5nn92hlzkn8b" w:colFirst="0" w:colLast="0"/>
      <w:bookmarkEnd w:id="46"/>
      <w:r w:rsidRPr="003C1075">
        <w:rPr>
          <w:rFonts w:ascii="Arial" w:hAnsi="Arial" w:cs="Arial"/>
          <w:b/>
          <w:bCs/>
          <w:color w:val="000000"/>
          <w:sz w:val="24"/>
          <w:szCs w:val="24"/>
        </w:rPr>
        <w:t>Alcance</w:t>
      </w:r>
    </w:p>
    <w:p w:rsidR="00554FEE" w:rsidRPr="003C1075" w:rsidRDefault="00554FEE">
      <w:pPr>
        <w:jc w:val="both"/>
        <w:rPr>
          <w:rFonts w:ascii="Arial" w:hAnsi="Arial" w:cs="Arial"/>
          <w:sz w:val="24"/>
          <w:szCs w:val="24"/>
        </w:rPr>
      </w:pPr>
    </w:p>
    <w:p w:rsidR="00554FEE" w:rsidRPr="003C1075" w:rsidRDefault="001000CA">
      <w:pPr>
        <w:jc w:val="both"/>
        <w:rPr>
          <w:rFonts w:ascii="Arial" w:hAnsi="Arial" w:cs="Arial"/>
          <w:sz w:val="24"/>
          <w:szCs w:val="24"/>
        </w:rPr>
      </w:pPr>
      <w:r w:rsidRPr="003C1075">
        <w:rPr>
          <w:rFonts w:ascii="Arial" w:hAnsi="Arial" w:cs="Arial"/>
          <w:sz w:val="24"/>
          <w:szCs w:val="24"/>
        </w:rPr>
        <w:t>El presente Plan Institucional de Gestión Ambiental (PIGA) tiene cobertura nacional y aplica de manera transversal a todas las sedes y parques arqueológicos, bajo la administración directa del Instituto Colombiano de Antropología e Historia (ICANH). Su ejecución es de carácter obligatorio para todos los colaboradores vinculados a la entidad, independientemente de su modalidad de vinculación.</w:t>
      </w:r>
    </w:p>
    <w:p w:rsidR="00554FEE" w:rsidRPr="003C1075" w:rsidRDefault="001000CA">
      <w:pPr>
        <w:jc w:val="both"/>
        <w:rPr>
          <w:rFonts w:ascii="Arial" w:hAnsi="Arial" w:cs="Arial"/>
          <w:sz w:val="24"/>
          <w:szCs w:val="24"/>
        </w:rPr>
      </w:pPr>
      <w:r w:rsidRPr="003C1075">
        <w:rPr>
          <w:rFonts w:ascii="Arial" w:hAnsi="Arial" w:cs="Arial"/>
          <w:sz w:val="24"/>
          <w:szCs w:val="24"/>
        </w:rPr>
        <w:t>El alcance del plan se desglosa en los siguientes niveles de intervención:</w:t>
      </w:r>
    </w:p>
    <w:p w:rsidR="00554FEE" w:rsidRPr="003C1075" w:rsidRDefault="001000CA">
      <w:pPr>
        <w:numPr>
          <w:ilvl w:val="0"/>
          <w:numId w:val="13"/>
        </w:numPr>
        <w:jc w:val="both"/>
        <w:rPr>
          <w:rFonts w:ascii="Arial" w:hAnsi="Arial" w:cs="Arial"/>
          <w:sz w:val="24"/>
          <w:szCs w:val="24"/>
        </w:rPr>
      </w:pPr>
      <w:r w:rsidRPr="003C1075">
        <w:rPr>
          <w:rFonts w:ascii="Arial" w:hAnsi="Arial" w:cs="Arial"/>
          <w:b/>
          <w:bCs/>
          <w:sz w:val="24"/>
          <w:szCs w:val="24"/>
        </w:rPr>
        <w:t>Sedes Físicas e Infraestructura:</w:t>
      </w:r>
    </w:p>
    <w:p w:rsidR="00554FEE" w:rsidRPr="003C1075" w:rsidRDefault="001000CA">
      <w:pPr>
        <w:numPr>
          <w:ilvl w:val="1"/>
          <w:numId w:val="13"/>
        </w:numPr>
        <w:jc w:val="both"/>
        <w:rPr>
          <w:rFonts w:ascii="Arial" w:hAnsi="Arial" w:cs="Arial"/>
          <w:sz w:val="24"/>
          <w:szCs w:val="24"/>
        </w:rPr>
      </w:pPr>
      <w:r w:rsidRPr="003C1075">
        <w:rPr>
          <w:rFonts w:ascii="Arial" w:hAnsi="Arial" w:cs="Arial"/>
          <w:b/>
          <w:bCs/>
          <w:sz w:val="24"/>
          <w:szCs w:val="24"/>
        </w:rPr>
        <w:t>Sedes Administrativa:</w:t>
      </w:r>
      <w:r w:rsidRPr="003C1075">
        <w:rPr>
          <w:rFonts w:ascii="Arial" w:hAnsi="Arial" w:cs="Arial"/>
          <w:sz w:val="24"/>
          <w:szCs w:val="24"/>
        </w:rPr>
        <w:t xml:space="preserve"> Incluye las oficinas centrales, áreas de archivo y biblioteca enfocándose en el consumo de recursos y manejo de residuos convencionales.</w:t>
      </w:r>
    </w:p>
    <w:p w:rsidR="00554FEE" w:rsidRPr="003C1075" w:rsidRDefault="001000CA">
      <w:pPr>
        <w:numPr>
          <w:ilvl w:val="1"/>
          <w:numId w:val="13"/>
        </w:numPr>
        <w:jc w:val="both"/>
        <w:rPr>
          <w:rFonts w:ascii="Arial" w:hAnsi="Arial" w:cs="Arial"/>
          <w:sz w:val="24"/>
          <w:szCs w:val="24"/>
        </w:rPr>
      </w:pPr>
      <w:r w:rsidRPr="003C1075">
        <w:rPr>
          <w:rFonts w:ascii="Arial" w:hAnsi="Arial" w:cs="Arial"/>
          <w:b/>
          <w:bCs/>
          <w:sz w:val="24"/>
          <w:szCs w:val="24"/>
        </w:rPr>
        <w:lastRenderedPageBreak/>
        <w:t>Parques Arqueológicos:</w:t>
      </w:r>
      <w:r w:rsidRPr="003C1075">
        <w:rPr>
          <w:rFonts w:ascii="Arial" w:hAnsi="Arial" w:cs="Arial"/>
          <w:sz w:val="24"/>
          <w:szCs w:val="24"/>
        </w:rPr>
        <w:t xml:space="preserve"> Abarca la gestión ambiental en las áreas de servicio y operación de los parques (ej. San Agustín, Tierradentro, Teyuna), incluyendo baterías sanitarias, taquillas, senderos y zonas de camping administradas por el ICANH.</w:t>
      </w:r>
    </w:p>
    <w:p w:rsidR="00554FEE" w:rsidRPr="003C1075" w:rsidRDefault="001000CA">
      <w:pPr>
        <w:numPr>
          <w:ilvl w:val="0"/>
          <w:numId w:val="13"/>
        </w:numPr>
        <w:jc w:val="both"/>
        <w:rPr>
          <w:rFonts w:ascii="Arial" w:hAnsi="Arial" w:cs="Arial"/>
          <w:sz w:val="24"/>
          <w:szCs w:val="24"/>
        </w:rPr>
      </w:pPr>
      <w:r w:rsidRPr="003C1075">
        <w:rPr>
          <w:rFonts w:ascii="Arial" w:hAnsi="Arial" w:cs="Arial"/>
          <w:b/>
          <w:bCs/>
          <w:sz w:val="24"/>
          <w:szCs w:val="24"/>
        </w:rPr>
        <w:t>Procesos y Actividades:</w:t>
      </w:r>
    </w:p>
    <w:p w:rsidR="00554FEE" w:rsidRPr="003C1075" w:rsidRDefault="001000CA">
      <w:pPr>
        <w:numPr>
          <w:ilvl w:val="1"/>
          <w:numId w:val="13"/>
        </w:numPr>
        <w:jc w:val="both"/>
        <w:rPr>
          <w:rFonts w:ascii="Arial" w:hAnsi="Arial" w:cs="Arial"/>
          <w:sz w:val="24"/>
          <w:szCs w:val="24"/>
        </w:rPr>
      </w:pPr>
      <w:r w:rsidRPr="003C1075">
        <w:rPr>
          <w:rFonts w:ascii="Arial" w:hAnsi="Arial" w:cs="Arial"/>
          <w:sz w:val="24"/>
          <w:szCs w:val="24"/>
        </w:rPr>
        <w:t>Actividades administrativas, financieras y de gestión documental.</w:t>
      </w:r>
    </w:p>
    <w:p w:rsidR="00554FEE" w:rsidRPr="003C1075" w:rsidRDefault="001000CA">
      <w:pPr>
        <w:numPr>
          <w:ilvl w:val="1"/>
          <w:numId w:val="13"/>
        </w:numPr>
        <w:jc w:val="both"/>
        <w:rPr>
          <w:rFonts w:ascii="Arial" w:hAnsi="Arial" w:cs="Arial"/>
          <w:sz w:val="24"/>
          <w:szCs w:val="24"/>
        </w:rPr>
      </w:pPr>
      <w:r w:rsidRPr="003C1075">
        <w:rPr>
          <w:rFonts w:ascii="Arial" w:hAnsi="Arial" w:cs="Arial"/>
          <w:sz w:val="24"/>
          <w:szCs w:val="24"/>
        </w:rPr>
        <w:t>Procesos de atención al ciudadano y recepción de visitantes en parques.</w:t>
      </w:r>
    </w:p>
    <w:p w:rsidR="00554FEE" w:rsidRPr="003C1075" w:rsidRDefault="001000CA">
      <w:pPr>
        <w:numPr>
          <w:ilvl w:val="1"/>
          <w:numId w:val="13"/>
        </w:numPr>
        <w:jc w:val="both"/>
        <w:rPr>
          <w:rFonts w:ascii="Arial" w:hAnsi="Arial" w:cs="Arial"/>
          <w:sz w:val="24"/>
          <w:szCs w:val="24"/>
        </w:rPr>
      </w:pPr>
      <w:r w:rsidRPr="003C1075">
        <w:rPr>
          <w:rFonts w:ascii="Arial" w:hAnsi="Arial" w:cs="Arial"/>
          <w:b/>
          <w:bCs/>
          <w:sz w:val="24"/>
          <w:szCs w:val="24"/>
        </w:rPr>
        <w:t>Comisiones de Servicio y Trabajo de Campo:</w:t>
      </w:r>
      <w:r w:rsidRPr="003C1075">
        <w:rPr>
          <w:rFonts w:ascii="Arial" w:hAnsi="Arial" w:cs="Arial"/>
          <w:sz w:val="24"/>
          <w:szCs w:val="24"/>
        </w:rPr>
        <w:t xml:space="preserve"> El plan extiende sus lineamientos de "buenas prácticas" a las actividades de investigación desarrolladas por funcionarios y contratistas en zonas rurales o territorios étnicos (ej. manejo de residuos en excavaciones), en la medida en que las condiciones logísticas lo permitan.</w:t>
      </w:r>
    </w:p>
    <w:p w:rsidR="00554FEE" w:rsidRPr="003C1075" w:rsidRDefault="001000CA">
      <w:pPr>
        <w:numPr>
          <w:ilvl w:val="0"/>
          <w:numId w:val="13"/>
        </w:numPr>
        <w:jc w:val="both"/>
        <w:rPr>
          <w:rFonts w:ascii="Arial" w:hAnsi="Arial" w:cs="Arial"/>
          <w:sz w:val="24"/>
          <w:szCs w:val="24"/>
        </w:rPr>
      </w:pPr>
      <w:r w:rsidRPr="003C1075">
        <w:rPr>
          <w:rFonts w:ascii="Arial" w:hAnsi="Arial" w:cs="Arial"/>
          <w:b/>
          <w:bCs/>
          <w:sz w:val="24"/>
          <w:szCs w:val="24"/>
        </w:rPr>
        <w:t>Grupos de Interés:</w:t>
      </w:r>
    </w:p>
    <w:p w:rsidR="00554FEE" w:rsidRPr="003C1075" w:rsidRDefault="001000CA">
      <w:pPr>
        <w:numPr>
          <w:ilvl w:val="1"/>
          <w:numId w:val="13"/>
        </w:numPr>
        <w:jc w:val="both"/>
        <w:rPr>
          <w:rFonts w:ascii="Arial" w:hAnsi="Arial" w:cs="Arial"/>
          <w:sz w:val="24"/>
          <w:szCs w:val="24"/>
        </w:rPr>
      </w:pPr>
      <w:r w:rsidRPr="003C1075">
        <w:rPr>
          <w:rFonts w:ascii="Arial" w:hAnsi="Arial" w:cs="Arial"/>
          <w:sz w:val="24"/>
          <w:szCs w:val="24"/>
        </w:rPr>
        <w:t>Trabajadores Oficiales, funcionarios de carrera, provisionales y libre nombramiento.</w:t>
      </w:r>
    </w:p>
    <w:p w:rsidR="00554FEE" w:rsidRPr="003C1075" w:rsidRDefault="001000CA">
      <w:pPr>
        <w:numPr>
          <w:ilvl w:val="1"/>
          <w:numId w:val="13"/>
        </w:numPr>
        <w:jc w:val="both"/>
        <w:rPr>
          <w:rFonts w:ascii="Arial" w:hAnsi="Arial" w:cs="Arial"/>
          <w:sz w:val="24"/>
          <w:szCs w:val="24"/>
        </w:rPr>
      </w:pPr>
      <w:r w:rsidRPr="003C1075">
        <w:rPr>
          <w:rFonts w:ascii="Arial" w:hAnsi="Arial" w:cs="Arial"/>
          <w:sz w:val="24"/>
          <w:szCs w:val="24"/>
        </w:rPr>
        <w:t>Contratistas de prestación de servicios.</w:t>
      </w:r>
    </w:p>
    <w:p w:rsidR="00554FEE" w:rsidRPr="003C1075" w:rsidRDefault="001000CA">
      <w:pPr>
        <w:numPr>
          <w:ilvl w:val="1"/>
          <w:numId w:val="13"/>
        </w:numPr>
        <w:jc w:val="both"/>
        <w:rPr>
          <w:rFonts w:ascii="Arial" w:hAnsi="Arial" w:cs="Arial"/>
          <w:sz w:val="24"/>
          <w:szCs w:val="24"/>
        </w:rPr>
      </w:pPr>
      <w:r w:rsidRPr="003C1075">
        <w:rPr>
          <w:rFonts w:ascii="Arial" w:hAnsi="Arial" w:cs="Arial"/>
          <w:sz w:val="24"/>
          <w:szCs w:val="24"/>
        </w:rPr>
        <w:t>Personal de servicios generales, vigilancia y mantenimiento.</w:t>
      </w:r>
    </w:p>
    <w:p w:rsidR="00554FEE" w:rsidRPr="003C1075" w:rsidRDefault="001000CA">
      <w:pPr>
        <w:numPr>
          <w:ilvl w:val="1"/>
          <w:numId w:val="13"/>
        </w:numPr>
        <w:jc w:val="both"/>
        <w:rPr>
          <w:rFonts w:ascii="Arial" w:hAnsi="Arial" w:cs="Arial"/>
          <w:sz w:val="24"/>
          <w:szCs w:val="24"/>
        </w:rPr>
      </w:pPr>
      <w:r w:rsidRPr="003C1075">
        <w:rPr>
          <w:rFonts w:ascii="Arial" w:hAnsi="Arial" w:cs="Arial"/>
          <w:sz w:val="24"/>
          <w:szCs w:val="24"/>
        </w:rPr>
        <w:t>Visitantes y turistas (en lo referente al comportamiento ambiental dentro de las instalaciones del Instituto).</w:t>
      </w:r>
    </w:p>
    <w:p w:rsidR="00554FEE" w:rsidRPr="003C1075" w:rsidRDefault="001000CA">
      <w:pPr>
        <w:jc w:val="both"/>
        <w:rPr>
          <w:rFonts w:ascii="Arial" w:hAnsi="Arial" w:cs="Arial"/>
          <w:sz w:val="24"/>
          <w:szCs w:val="24"/>
        </w:rPr>
      </w:pPr>
      <w:r w:rsidRPr="003C1075">
        <w:rPr>
          <w:rFonts w:ascii="Arial" w:hAnsi="Arial" w:cs="Arial"/>
          <w:b/>
          <w:bCs/>
          <w:sz w:val="24"/>
          <w:szCs w:val="24"/>
        </w:rPr>
        <w:t>2. Límites y Exclusiones:</w:t>
      </w:r>
      <w:r w:rsidRPr="003C1075">
        <w:rPr>
          <w:rFonts w:ascii="Arial" w:hAnsi="Arial" w:cs="Arial"/>
          <w:sz w:val="24"/>
          <w:szCs w:val="24"/>
        </w:rPr>
        <w:t xml:space="preserve"> Se definen las siguientes limitaciones en la ejecución del PIGA, donde la responsabilidad del ICANH es compartida o indirecta:</w:t>
      </w:r>
    </w:p>
    <w:p w:rsidR="00554FEE" w:rsidRPr="003C1075" w:rsidRDefault="001000CA">
      <w:pPr>
        <w:numPr>
          <w:ilvl w:val="0"/>
          <w:numId w:val="14"/>
        </w:numPr>
        <w:jc w:val="both"/>
        <w:rPr>
          <w:rFonts w:ascii="Arial" w:hAnsi="Arial" w:cs="Arial"/>
          <w:sz w:val="24"/>
          <w:szCs w:val="24"/>
        </w:rPr>
      </w:pPr>
      <w:r w:rsidRPr="003C1075">
        <w:rPr>
          <w:rFonts w:ascii="Arial" w:hAnsi="Arial" w:cs="Arial"/>
          <w:b/>
          <w:bCs/>
          <w:sz w:val="24"/>
          <w:szCs w:val="24"/>
        </w:rPr>
        <w:t>Infraestructura Compartida:</w:t>
      </w:r>
      <w:r w:rsidRPr="003C1075">
        <w:rPr>
          <w:rFonts w:ascii="Arial" w:hAnsi="Arial" w:cs="Arial"/>
          <w:sz w:val="24"/>
          <w:szCs w:val="24"/>
        </w:rPr>
        <w:t xml:space="preserve"> En aquellas sedes donde el ICANH ocupe espacios dentro de edificaciones administradas por terceros, el alcance se limita al control de consumo y gestión de residuos al interior de las oficinas asignadas. El mantenimiento de sistemas centrales (acueducto general, plantas eléctricas del edificio) queda excluido del control directo de este plan.</w:t>
      </w:r>
    </w:p>
    <w:p w:rsidR="00554FEE" w:rsidRPr="003C1075" w:rsidRDefault="001000CA">
      <w:pPr>
        <w:numPr>
          <w:ilvl w:val="0"/>
          <w:numId w:val="14"/>
        </w:numPr>
        <w:jc w:val="both"/>
        <w:rPr>
          <w:rFonts w:ascii="Arial" w:hAnsi="Arial" w:cs="Arial"/>
          <w:sz w:val="24"/>
          <w:szCs w:val="24"/>
        </w:rPr>
      </w:pPr>
      <w:r w:rsidRPr="003C1075">
        <w:rPr>
          <w:rFonts w:ascii="Arial" w:hAnsi="Arial" w:cs="Arial"/>
          <w:b/>
          <w:bCs/>
          <w:sz w:val="24"/>
          <w:szCs w:val="24"/>
        </w:rPr>
        <w:t>Obras de Infraestructura Mayor:</w:t>
      </w:r>
      <w:r w:rsidRPr="003C1075">
        <w:rPr>
          <w:rFonts w:ascii="Arial" w:hAnsi="Arial" w:cs="Arial"/>
          <w:sz w:val="24"/>
          <w:szCs w:val="24"/>
        </w:rPr>
        <w:t xml:space="preserve"> Los proyectos de construcción, adecuación civil de gran escala o restauración arquitectónica contratados con terceros se </w:t>
      </w:r>
      <w:r w:rsidRPr="003C1075">
        <w:rPr>
          <w:rFonts w:ascii="Arial" w:hAnsi="Arial" w:cs="Arial"/>
          <w:sz w:val="24"/>
          <w:szCs w:val="24"/>
        </w:rPr>
        <w:lastRenderedPageBreak/>
        <w:t>regirán por los Planes de Manejo Ambiental (PMA) específicos exigidos en sus respectivos contratos y licencias, y no por el PIGA operativo del día a día.</w:t>
      </w:r>
    </w:p>
    <w:p w:rsidR="00554FEE" w:rsidRPr="003C1075" w:rsidRDefault="001000CA">
      <w:pPr>
        <w:numPr>
          <w:ilvl w:val="0"/>
          <w:numId w:val="14"/>
        </w:numPr>
        <w:jc w:val="both"/>
        <w:rPr>
          <w:rFonts w:ascii="Arial" w:hAnsi="Arial" w:cs="Arial"/>
          <w:sz w:val="24"/>
          <w:szCs w:val="24"/>
        </w:rPr>
      </w:pPr>
      <w:r w:rsidRPr="003C1075">
        <w:rPr>
          <w:rFonts w:ascii="Arial" w:hAnsi="Arial" w:cs="Arial"/>
          <w:b/>
          <w:bCs/>
          <w:sz w:val="24"/>
          <w:szCs w:val="24"/>
        </w:rPr>
        <w:t>Servicios Públicos Externos:</w:t>
      </w:r>
      <w:r w:rsidRPr="003C1075">
        <w:rPr>
          <w:rFonts w:ascii="Arial" w:hAnsi="Arial" w:cs="Arial"/>
          <w:sz w:val="24"/>
          <w:szCs w:val="24"/>
        </w:rPr>
        <w:t xml:space="preserve"> La calidad del suministro de agua y energía entregada por las empresas de servicios públicos, así como la disposición final de los residuos una vez entregados al operador de aseo municipal, están fuera del alcance de control del Instituto.</w:t>
      </w:r>
    </w:p>
    <w:p w:rsidR="00554FEE" w:rsidRPr="003C1075" w:rsidRDefault="001000CA">
      <w:pPr>
        <w:numPr>
          <w:ilvl w:val="0"/>
          <w:numId w:val="14"/>
        </w:numPr>
        <w:jc w:val="both"/>
        <w:rPr>
          <w:rFonts w:ascii="Arial" w:hAnsi="Arial" w:cs="Arial"/>
          <w:sz w:val="24"/>
          <w:szCs w:val="24"/>
        </w:rPr>
      </w:pPr>
      <w:r w:rsidRPr="003C1075">
        <w:rPr>
          <w:rFonts w:ascii="Arial" w:hAnsi="Arial" w:cs="Arial"/>
          <w:b/>
          <w:bCs/>
          <w:sz w:val="24"/>
          <w:szCs w:val="24"/>
        </w:rPr>
        <w:t>Entorno de Parques Arqueológicos:</w:t>
      </w:r>
      <w:r w:rsidRPr="003C1075">
        <w:rPr>
          <w:rFonts w:ascii="Arial" w:hAnsi="Arial" w:cs="Arial"/>
          <w:sz w:val="24"/>
          <w:szCs w:val="24"/>
        </w:rPr>
        <w:t xml:space="preserve"> El plan se limita a los predios propiedad del ICANH. No abarca problemáticas ambientales de las comunidades vecinas o zonas de amortiguación que no estén bajo jurisdicción legal de la entidad.</w:t>
      </w:r>
    </w:p>
    <w:p w:rsidR="00554FEE" w:rsidRPr="003C1075" w:rsidRDefault="00554FEE">
      <w:pPr>
        <w:jc w:val="both"/>
        <w:rPr>
          <w:rFonts w:ascii="Arial" w:hAnsi="Arial" w:cs="Arial"/>
          <w:sz w:val="24"/>
          <w:szCs w:val="24"/>
        </w:rPr>
      </w:pP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47" w:name="_heading=h.r5ze9ffp1iaz" w:colFirst="0" w:colLast="0"/>
      <w:bookmarkEnd w:id="47"/>
      <w:r w:rsidRPr="003C1075">
        <w:rPr>
          <w:rFonts w:ascii="Arial" w:hAnsi="Arial" w:cs="Arial"/>
          <w:b/>
          <w:bCs/>
          <w:color w:val="000000"/>
          <w:sz w:val="24"/>
          <w:szCs w:val="24"/>
        </w:rPr>
        <w:t>Definiciones</w:t>
      </w:r>
    </w:p>
    <w:p w:rsidR="00554FEE" w:rsidRPr="003C1075" w:rsidRDefault="00554FEE">
      <w:pPr>
        <w:jc w:val="both"/>
        <w:rPr>
          <w:rFonts w:ascii="Arial" w:hAnsi="Arial" w:cs="Arial"/>
          <w:b/>
          <w:bCs/>
          <w:sz w:val="24"/>
          <w:szCs w:val="24"/>
        </w:rPr>
      </w:pPr>
    </w:p>
    <w:p w:rsidR="00554FEE" w:rsidRPr="003C1075" w:rsidRDefault="001000CA">
      <w:pPr>
        <w:jc w:val="both"/>
        <w:rPr>
          <w:rFonts w:ascii="Arial" w:hAnsi="Arial" w:cs="Arial"/>
          <w:sz w:val="24"/>
          <w:szCs w:val="24"/>
        </w:rPr>
      </w:pPr>
      <w:r w:rsidRPr="003C1075">
        <w:rPr>
          <w:rFonts w:ascii="Arial" w:hAnsi="Arial" w:cs="Arial"/>
          <w:b/>
          <w:bCs/>
          <w:sz w:val="24"/>
          <w:szCs w:val="24"/>
        </w:rPr>
        <w:t>1. Aspecto Ambiental:</w:t>
      </w:r>
      <w:r w:rsidRPr="003C1075">
        <w:rPr>
          <w:rFonts w:ascii="Arial" w:hAnsi="Arial" w:cs="Arial"/>
          <w:sz w:val="24"/>
          <w:szCs w:val="24"/>
        </w:rPr>
        <w:t xml:space="preserve"> Elemento de las actividades, productos o servicios del ICANH que interactúa o puede interactuar con el medio ambiente. (Ejemplo para el plan: El consumo de energía en los laboratorios es el aspecto; el agotamiento del recurso es el impacto).</w:t>
      </w:r>
    </w:p>
    <w:p w:rsidR="00554FEE" w:rsidRPr="003C1075" w:rsidRDefault="001000CA">
      <w:pPr>
        <w:jc w:val="both"/>
        <w:rPr>
          <w:rFonts w:ascii="Arial" w:hAnsi="Arial" w:cs="Arial"/>
          <w:sz w:val="24"/>
          <w:szCs w:val="24"/>
        </w:rPr>
      </w:pPr>
      <w:r w:rsidRPr="003C1075">
        <w:rPr>
          <w:rFonts w:ascii="Arial" w:hAnsi="Arial" w:cs="Arial"/>
          <w:b/>
          <w:bCs/>
          <w:sz w:val="24"/>
          <w:szCs w:val="24"/>
        </w:rPr>
        <w:t>2. Impacto Ambiental:</w:t>
      </w:r>
      <w:r w:rsidRPr="003C1075">
        <w:rPr>
          <w:rFonts w:ascii="Arial" w:hAnsi="Arial" w:cs="Arial"/>
          <w:sz w:val="24"/>
          <w:szCs w:val="24"/>
        </w:rPr>
        <w:t xml:space="preserve"> Cualquier cambio en el medio ambiente, ya sea adverso o beneficioso, como resultado total o parcial de los aspectos ambientales del Instituto.</w:t>
      </w:r>
    </w:p>
    <w:p w:rsidR="00554FEE" w:rsidRPr="003C1075" w:rsidRDefault="001000CA">
      <w:pPr>
        <w:jc w:val="both"/>
        <w:rPr>
          <w:rFonts w:ascii="Arial" w:hAnsi="Arial" w:cs="Arial"/>
          <w:sz w:val="24"/>
          <w:szCs w:val="24"/>
        </w:rPr>
      </w:pPr>
      <w:r w:rsidRPr="003C1075">
        <w:rPr>
          <w:rFonts w:ascii="Arial" w:hAnsi="Arial" w:cs="Arial"/>
          <w:b/>
          <w:bCs/>
          <w:sz w:val="24"/>
          <w:szCs w:val="24"/>
        </w:rPr>
        <w:t xml:space="preserve">3. </w:t>
      </w:r>
      <w:proofErr w:type="spellStart"/>
      <w:r w:rsidRPr="003C1075">
        <w:rPr>
          <w:rFonts w:ascii="Arial" w:hAnsi="Arial" w:cs="Arial"/>
          <w:b/>
          <w:bCs/>
          <w:sz w:val="24"/>
          <w:szCs w:val="24"/>
        </w:rPr>
        <w:t>Ecoeficiencia</w:t>
      </w:r>
      <w:proofErr w:type="spellEnd"/>
      <w:r w:rsidRPr="003C1075">
        <w:rPr>
          <w:rFonts w:ascii="Arial" w:hAnsi="Arial" w:cs="Arial"/>
          <w:b/>
          <w:bCs/>
          <w:sz w:val="24"/>
          <w:szCs w:val="24"/>
        </w:rPr>
        <w:t>:</w:t>
      </w:r>
      <w:r w:rsidRPr="003C1075">
        <w:rPr>
          <w:rFonts w:ascii="Arial" w:hAnsi="Arial" w:cs="Arial"/>
          <w:sz w:val="24"/>
          <w:szCs w:val="24"/>
        </w:rPr>
        <w:t xml:space="preserve"> Filosofía de gestión que busca la creación de bienes y servicios utilizando menos recursos naturales y generando menos residuos y contaminación. En el contexto del ICANH, implica optimizar el gasto público mediante la reducción de consumos (agua, energía, papel) sin afectar la calidad de la investigación o la atención al visitante.</w:t>
      </w:r>
    </w:p>
    <w:p w:rsidR="00554FEE" w:rsidRPr="003C1075" w:rsidRDefault="001000CA">
      <w:pPr>
        <w:jc w:val="both"/>
        <w:rPr>
          <w:rFonts w:ascii="Arial" w:hAnsi="Arial" w:cs="Arial"/>
          <w:sz w:val="24"/>
          <w:szCs w:val="24"/>
        </w:rPr>
      </w:pPr>
      <w:r w:rsidRPr="003C1075">
        <w:rPr>
          <w:rFonts w:ascii="Arial" w:hAnsi="Arial" w:cs="Arial"/>
          <w:b/>
          <w:bCs/>
          <w:sz w:val="24"/>
          <w:szCs w:val="24"/>
        </w:rPr>
        <w:t>4. Gestión Integral de Residuos:</w:t>
      </w:r>
      <w:r w:rsidRPr="003C1075">
        <w:rPr>
          <w:rFonts w:ascii="Arial" w:hAnsi="Arial" w:cs="Arial"/>
          <w:sz w:val="24"/>
          <w:szCs w:val="24"/>
        </w:rPr>
        <w:t xml:space="preserve"> Conjunto de operaciones y disposiciones encaminadas a dar a los residuos producidos el destino más adecuado desde el punto de vista ambiental, sanitario y económico. Incluye todas las etapas: generación, separación en la fuente, recolección, almacenamiento, transporte y disposición final.</w:t>
      </w:r>
    </w:p>
    <w:p w:rsidR="00554FEE" w:rsidRPr="003C1075" w:rsidRDefault="001000CA">
      <w:pPr>
        <w:jc w:val="both"/>
        <w:rPr>
          <w:rFonts w:ascii="Arial" w:hAnsi="Arial" w:cs="Arial"/>
          <w:sz w:val="24"/>
          <w:szCs w:val="24"/>
        </w:rPr>
      </w:pPr>
      <w:r w:rsidRPr="003C1075">
        <w:rPr>
          <w:rFonts w:ascii="Arial" w:hAnsi="Arial" w:cs="Arial"/>
          <w:b/>
          <w:bCs/>
          <w:sz w:val="24"/>
          <w:szCs w:val="24"/>
        </w:rPr>
        <w:t>5. Residuos Peligrosos (RESPEL):</w:t>
      </w:r>
      <w:r w:rsidRPr="003C1075">
        <w:rPr>
          <w:rFonts w:ascii="Arial" w:hAnsi="Arial" w:cs="Arial"/>
          <w:sz w:val="24"/>
          <w:szCs w:val="24"/>
        </w:rPr>
        <w:t xml:space="preserve"> Aquel residuo o desecho que, por sus características corrosivas, reactivas, explosivas, tóxicas, inflamables, infecciosas o radiactivas, puede causar riesgo a la salud humana y el ambiente. (Nota: Concepto </w:t>
      </w:r>
      <w:r w:rsidRPr="003C1075">
        <w:rPr>
          <w:rFonts w:ascii="Arial" w:hAnsi="Arial" w:cs="Arial"/>
          <w:sz w:val="24"/>
          <w:szCs w:val="24"/>
        </w:rPr>
        <w:lastRenderedPageBreak/>
        <w:t>crítico para el ICANH debido al uso de químicos en laboratorios de conservación y arqueología).</w:t>
      </w:r>
    </w:p>
    <w:p w:rsidR="00554FEE" w:rsidRPr="003C1075" w:rsidRDefault="001000CA">
      <w:pPr>
        <w:jc w:val="both"/>
        <w:rPr>
          <w:rFonts w:ascii="Arial" w:hAnsi="Arial" w:cs="Arial"/>
          <w:sz w:val="24"/>
          <w:szCs w:val="24"/>
        </w:rPr>
      </w:pPr>
      <w:r w:rsidRPr="003C1075">
        <w:rPr>
          <w:rFonts w:ascii="Arial" w:hAnsi="Arial" w:cs="Arial"/>
          <w:b/>
          <w:bCs/>
          <w:sz w:val="24"/>
          <w:szCs w:val="24"/>
        </w:rPr>
        <w:t>6. Huella de Carbono:</w:t>
      </w:r>
      <w:r w:rsidRPr="003C1075">
        <w:rPr>
          <w:rFonts w:ascii="Arial" w:hAnsi="Arial" w:cs="Arial"/>
          <w:sz w:val="24"/>
          <w:szCs w:val="24"/>
        </w:rPr>
        <w:t xml:space="preserve"> La totalidad de gases de efecto invernadero (GEI) emitidos por efecto directo o indirecto de las actividades del Instituto. Se utiliza como indicador para medir el impacto de los desplazamientos (comisiones de servicio), el consumo eléctrico y el transporte logístico.</w:t>
      </w:r>
    </w:p>
    <w:p w:rsidR="00554FEE" w:rsidRPr="003C1075" w:rsidRDefault="001000CA">
      <w:pPr>
        <w:jc w:val="both"/>
        <w:rPr>
          <w:rFonts w:ascii="Arial" w:hAnsi="Arial" w:cs="Arial"/>
          <w:sz w:val="24"/>
          <w:szCs w:val="24"/>
        </w:rPr>
      </w:pPr>
      <w:r w:rsidRPr="003C1075">
        <w:rPr>
          <w:rFonts w:ascii="Arial" w:hAnsi="Arial" w:cs="Arial"/>
          <w:b/>
          <w:bCs/>
          <w:sz w:val="24"/>
          <w:szCs w:val="24"/>
        </w:rPr>
        <w:t>7. Ciclo de Vida:</w:t>
      </w:r>
      <w:r w:rsidRPr="003C1075">
        <w:rPr>
          <w:rFonts w:ascii="Arial" w:hAnsi="Arial" w:cs="Arial"/>
          <w:sz w:val="24"/>
          <w:szCs w:val="24"/>
        </w:rPr>
        <w:t xml:space="preserve"> Etapas consecutivas e interrelacionadas de un sistema de producto o servicio, desde la adquisición de materias primas o su generación a partir de recursos naturales hasta su disposición final. Es fundamental para aplicar criterios de </w:t>
      </w:r>
      <w:r w:rsidRPr="003C1075">
        <w:rPr>
          <w:rFonts w:ascii="Arial" w:hAnsi="Arial" w:cs="Arial"/>
          <w:b/>
          <w:bCs/>
          <w:sz w:val="24"/>
          <w:szCs w:val="24"/>
        </w:rPr>
        <w:t>Compras Públicas Sostenibles</w:t>
      </w:r>
      <w:r w:rsidRPr="003C1075">
        <w:rPr>
          <w:rFonts w:ascii="Arial" w:hAnsi="Arial" w:cs="Arial"/>
          <w:sz w:val="24"/>
          <w:szCs w:val="24"/>
        </w:rPr>
        <w:t>.</w:t>
      </w:r>
    </w:p>
    <w:p w:rsidR="00554FEE" w:rsidRPr="003C1075" w:rsidRDefault="001000CA">
      <w:pPr>
        <w:jc w:val="both"/>
        <w:rPr>
          <w:rFonts w:ascii="Arial" w:hAnsi="Arial" w:cs="Arial"/>
          <w:sz w:val="24"/>
          <w:szCs w:val="24"/>
        </w:rPr>
      </w:pPr>
      <w:r w:rsidRPr="003C1075">
        <w:rPr>
          <w:rFonts w:ascii="Arial" w:hAnsi="Arial" w:cs="Arial"/>
          <w:b/>
          <w:bCs/>
          <w:sz w:val="24"/>
          <w:szCs w:val="24"/>
        </w:rPr>
        <w:t>8. PIGA (Plan Institucional de Gestión Ambiental)</w:t>
      </w:r>
      <w:r w:rsidRPr="003C1075">
        <w:rPr>
          <w:rFonts w:ascii="Arial" w:hAnsi="Arial" w:cs="Arial"/>
          <w:sz w:val="24"/>
          <w:szCs w:val="24"/>
        </w:rPr>
        <w:t>: Instrumento de planeación que parte del análisis de la situación ambiental de la entidad para definir objetivos, metas, estrategias y recursos necesarios para prevenir, mitigar y/o compensar los impactos ambientales generados por su funcionamiento.</w:t>
      </w:r>
    </w:p>
    <w:p w:rsidR="00554FEE" w:rsidRPr="003C1075" w:rsidRDefault="00554FEE">
      <w:pPr>
        <w:jc w:val="both"/>
        <w:rPr>
          <w:rFonts w:ascii="Arial" w:hAnsi="Arial" w:cs="Arial"/>
          <w:i/>
          <w:iCs/>
          <w:sz w:val="24"/>
          <w:szCs w:val="24"/>
          <w:highlight w:val="lightGray"/>
        </w:rPr>
      </w:pP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48" w:name="_heading=h.whr3orkxqb45" w:colFirst="0" w:colLast="0"/>
      <w:bookmarkEnd w:id="48"/>
      <w:r w:rsidRPr="003C1075">
        <w:rPr>
          <w:rFonts w:ascii="Arial" w:hAnsi="Arial" w:cs="Arial"/>
          <w:b/>
          <w:bCs/>
          <w:color w:val="000000"/>
          <w:sz w:val="24"/>
          <w:szCs w:val="24"/>
        </w:rPr>
        <w:t xml:space="preserve">Generalidades del Plan Institucional </w:t>
      </w:r>
    </w:p>
    <w:p w:rsidR="00554FEE" w:rsidRPr="003C1075" w:rsidRDefault="00554FEE">
      <w:pPr>
        <w:jc w:val="both"/>
        <w:rPr>
          <w:rFonts w:ascii="Arial" w:hAnsi="Arial" w:cs="Arial"/>
          <w:i/>
          <w:iCs/>
          <w:sz w:val="24"/>
          <w:szCs w:val="24"/>
          <w:highlight w:val="lightGray"/>
        </w:rPr>
      </w:pPr>
    </w:p>
    <w:p w:rsidR="00554FEE" w:rsidRPr="003C1075" w:rsidRDefault="001000CA">
      <w:pPr>
        <w:jc w:val="both"/>
        <w:rPr>
          <w:rFonts w:ascii="Arial" w:hAnsi="Arial" w:cs="Arial"/>
          <w:sz w:val="24"/>
          <w:szCs w:val="24"/>
        </w:rPr>
      </w:pPr>
      <w:r w:rsidRPr="003C1075">
        <w:rPr>
          <w:rFonts w:ascii="Arial" w:hAnsi="Arial" w:cs="Arial"/>
          <w:sz w:val="24"/>
          <w:szCs w:val="24"/>
        </w:rPr>
        <w:t>El Plan Institucional de Gestión Ambiental del ICANH se concibe como una herramienta transversal que integra las dinámicas administrativas con la responsabilidad misional de proteger el patrimonio en sus contextos naturales. A continuación, se describen los elementos estructurales que enmarcan su aplicación:</w:t>
      </w:r>
    </w:p>
    <w:p w:rsidR="001239E9" w:rsidRPr="003C1075" w:rsidRDefault="001239E9">
      <w:pPr>
        <w:jc w:val="both"/>
        <w:rPr>
          <w:rFonts w:ascii="Arial" w:hAnsi="Arial" w:cs="Arial"/>
          <w:sz w:val="24"/>
          <w:szCs w:val="24"/>
        </w:rPr>
      </w:pPr>
    </w:p>
    <w:p w:rsidR="001239E9" w:rsidRPr="003C1075" w:rsidRDefault="001239E9">
      <w:pPr>
        <w:jc w:val="both"/>
        <w:rPr>
          <w:rFonts w:ascii="Arial" w:hAnsi="Arial" w:cs="Arial"/>
          <w:sz w:val="24"/>
          <w:szCs w:val="24"/>
        </w:rPr>
      </w:pPr>
    </w:p>
    <w:p w:rsidR="00554FEE" w:rsidRPr="003C1075" w:rsidRDefault="001000CA">
      <w:pPr>
        <w:jc w:val="both"/>
        <w:rPr>
          <w:rFonts w:ascii="Arial" w:hAnsi="Arial" w:cs="Arial"/>
          <w:b/>
          <w:bCs/>
          <w:sz w:val="24"/>
          <w:szCs w:val="24"/>
        </w:rPr>
      </w:pPr>
      <w:r w:rsidRPr="003C1075">
        <w:rPr>
          <w:rFonts w:ascii="Arial" w:hAnsi="Arial" w:cs="Arial"/>
          <w:b/>
          <w:bCs/>
          <w:sz w:val="24"/>
          <w:szCs w:val="24"/>
        </w:rPr>
        <w:t>1.1. Población Objetivo y Grupos de Interés:</w:t>
      </w:r>
    </w:p>
    <w:p w:rsidR="00554FEE" w:rsidRPr="003C1075" w:rsidRDefault="001000CA">
      <w:pPr>
        <w:jc w:val="both"/>
        <w:rPr>
          <w:rFonts w:ascii="Arial" w:hAnsi="Arial" w:cs="Arial"/>
          <w:sz w:val="24"/>
          <w:szCs w:val="24"/>
        </w:rPr>
      </w:pPr>
      <w:r w:rsidRPr="003C1075">
        <w:rPr>
          <w:rFonts w:ascii="Arial" w:hAnsi="Arial" w:cs="Arial"/>
          <w:sz w:val="24"/>
          <w:szCs w:val="24"/>
        </w:rPr>
        <w:t>La implementación del PIGA impacta a una diversidad de actores que interactúan con las instalaciones y servicios del Instituto. Se clasifican en tres niveles de incidencia:</w:t>
      </w:r>
    </w:p>
    <w:p w:rsidR="00554FEE" w:rsidRPr="003C1075" w:rsidRDefault="001000CA">
      <w:pPr>
        <w:numPr>
          <w:ilvl w:val="0"/>
          <w:numId w:val="15"/>
        </w:numPr>
        <w:jc w:val="both"/>
        <w:rPr>
          <w:rFonts w:ascii="Arial" w:hAnsi="Arial" w:cs="Arial"/>
          <w:sz w:val="24"/>
          <w:szCs w:val="24"/>
        </w:rPr>
      </w:pPr>
      <w:r w:rsidRPr="003C1075">
        <w:rPr>
          <w:rFonts w:ascii="Arial" w:hAnsi="Arial" w:cs="Arial"/>
          <w:b/>
          <w:bCs/>
          <w:sz w:val="24"/>
          <w:szCs w:val="24"/>
        </w:rPr>
        <w:t>Población Interna (Generadores Directos):</w:t>
      </w:r>
      <w:r w:rsidRPr="003C1075">
        <w:rPr>
          <w:rFonts w:ascii="Arial" w:hAnsi="Arial" w:cs="Arial"/>
          <w:sz w:val="24"/>
          <w:szCs w:val="24"/>
        </w:rPr>
        <w:t xml:space="preserve"> Comprende a la totalidad de servidores públicos (planta y provisionales) y contratistas de prestación de servicios. Este grupo es el responsable directo de la ejecución de prácticas de </w:t>
      </w:r>
      <w:proofErr w:type="spellStart"/>
      <w:r w:rsidRPr="003C1075">
        <w:rPr>
          <w:rFonts w:ascii="Arial" w:hAnsi="Arial" w:cs="Arial"/>
          <w:sz w:val="24"/>
          <w:szCs w:val="24"/>
        </w:rPr>
        <w:lastRenderedPageBreak/>
        <w:t>ecoeficiencia</w:t>
      </w:r>
      <w:proofErr w:type="spellEnd"/>
      <w:r w:rsidRPr="003C1075">
        <w:rPr>
          <w:rFonts w:ascii="Arial" w:hAnsi="Arial" w:cs="Arial"/>
          <w:sz w:val="24"/>
          <w:szCs w:val="24"/>
        </w:rPr>
        <w:t xml:space="preserve"> (ahorro de papel, agua, energía) y la correcta segregación de residuos en la fuente.</w:t>
      </w:r>
    </w:p>
    <w:p w:rsidR="00554FEE" w:rsidRPr="003C1075" w:rsidRDefault="001000CA">
      <w:pPr>
        <w:numPr>
          <w:ilvl w:val="0"/>
          <w:numId w:val="15"/>
        </w:numPr>
        <w:jc w:val="both"/>
        <w:rPr>
          <w:rFonts w:ascii="Arial" w:hAnsi="Arial" w:cs="Arial"/>
          <w:sz w:val="24"/>
          <w:szCs w:val="24"/>
        </w:rPr>
      </w:pPr>
      <w:r w:rsidRPr="003C1075">
        <w:rPr>
          <w:rFonts w:ascii="Arial" w:hAnsi="Arial" w:cs="Arial"/>
          <w:b/>
          <w:bCs/>
          <w:sz w:val="24"/>
          <w:szCs w:val="24"/>
        </w:rPr>
        <w:t>Población Flotante y Visitantes (Generadores Masivos):</w:t>
      </w:r>
      <w:r w:rsidRPr="003C1075">
        <w:rPr>
          <w:rFonts w:ascii="Arial" w:hAnsi="Arial" w:cs="Arial"/>
          <w:sz w:val="24"/>
          <w:szCs w:val="24"/>
        </w:rPr>
        <w:t xml:space="preserve"> Incluye a los turistas nacionales y extranjeros que visitan los Parques Arqueológicos (San Agustín, Tierradentro, Teyuna) y los museos administrados por el Instituto. Aunque su permanencia es temporal, representan la mayor carga en términos de consumo hídrico (uso de baterías sanitarias) y generación de residuos ordinarios.</w:t>
      </w:r>
    </w:p>
    <w:p w:rsidR="00554FEE" w:rsidRPr="003C1075" w:rsidRDefault="001000CA">
      <w:pPr>
        <w:numPr>
          <w:ilvl w:val="0"/>
          <w:numId w:val="15"/>
        </w:numPr>
        <w:jc w:val="both"/>
        <w:rPr>
          <w:rFonts w:ascii="Arial" w:hAnsi="Arial" w:cs="Arial"/>
          <w:sz w:val="24"/>
          <w:szCs w:val="24"/>
        </w:rPr>
      </w:pPr>
      <w:r w:rsidRPr="003C1075">
        <w:rPr>
          <w:rFonts w:ascii="Arial" w:hAnsi="Arial" w:cs="Arial"/>
          <w:b/>
          <w:bCs/>
          <w:sz w:val="24"/>
          <w:szCs w:val="24"/>
        </w:rPr>
        <w:t>Comunidades y Proveedores (Actores de la Cadena):</w:t>
      </w:r>
      <w:r w:rsidRPr="003C1075">
        <w:rPr>
          <w:rFonts w:ascii="Arial" w:hAnsi="Arial" w:cs="Arial"/>
          <w:sz w:val="24"/>
          <w:szCs w:val="24"/>
        </w:rPr>
        <w:t xml:space="preserve"> Abarca a las comunidades locales aledañas a los parques, proveedores de insumos (químicos, papelería) y gestores externos de residuos, con quienes se establecen lineamientos de corresponsabilidad ambiental.</w:t>
      </w:r>
    </w:p>
    <w:p w:rsidR="00554FEE" w:rsidRPr="003C1075" w:rsidRDefault="001000CA">
      <w:pPr>
        <w:jc w:val="both"/>
        <w:rPr>
          <w:rFonts w:ascii="Arial" w:hAnsi="Arial" w:cs="Arial"/>
          <w:b/>
          <w:bCs/>
          <w:sz w:val="24"/>
          <w:szCs w:val="24"/>
        </w:rPr>
      </w:pPr>
      <w:r w:rsidRPr="003C1075">
        <w:rPr>
          <w:rFonts w:ascii="Arial" w:hAnsi="Arial" w:cs="Arial"/>
          <w:b/>
          <w:bCs/>
          <w:sz w:val="24"/>
          <w:szCs w:val="24"/>
        </w:rPr>
        <w:t>1.2. Condiciones Especiales de Operación:</w:t>
      </w:r>
    </w:p>
    <w:p w:rsidR="00554FEE" w:rsidRPr="003C1075" w:rsidRDefault="001000CA">
      <w:pPr>
        <w:jc w:val="both"/>
        <w:rPr>
          <w:rFonts w:ascii="Arial" w:hAnsi="Arial" w:cs="Arial"/>
          <w:sz w:val="24"/>
          <w:szCs w:val="24"/>
        </w:rPr>
      </w:pPr>
      <w:r w:rsidRPr="003C1075">
        <w:rPr>
          <w:rFonts w:ascii="Arial" w:hAnsi="Arial" w:cs="Arial"/>
          <w:sz w:val="24"/>
          <w:szCs w:val="24"/>
        </w:rPr>
        <w:t>El PIGA del ICANH opera bajo condiciones atípicas que lo diferencian de otras entidades del sector público:</w:t>
      </w:r>
    </w:p>
    <w:p w:rsidR="00554FEE" w:rsidRPr="003C1075" w:rsidRDefault="001000CA">
      <w:pPr>
        <w:numPr>
          <w:ilvl w:val="0"/>
          <w:numId w:val="16"/>
        </w:numPr>
        <w:jc w:val="both"/>
        <w:rPr>
          <w:rFonts w:ascii="Arial" w:hAnsi="Arial" w:cs="Arial"/>
          <w:sz w:val="24"/>
          <w:szCs w:val="24"/>
        </w:rPr>
      </w:pPr>
      <w:r w:rsidRPr="003C1075">
        <w:rPr>
          <w:rFonts w:ascii="Arial" w:hAnsi="Arial" w:cs="Arial"/>
          <w:b/>
          <w:bCs/>
          <w:sz w:val="24"/>
          <w:szCs w:val="24"/>
        </w:rPr>
        <w:t>Dispersión Geográfica y Climática:</w:t>
      </w:r>
      <w:r w:rsidRPr="003C1075">
        <w:rPr>
          <w:rFonts w:ascii="Arial" w:hAnsi="Arial" w:cs="Arial"/>
          <w:sz w:val="24"/>
          <w:szCs w:val="24"/>
        </w:rPr>
        <w:t xml:space="preserve"> El plan debe adaptarse a contextos heterogéneos, gestionando desde oficinas en clima frío (Bogotá) hasta operaciones de campo en selva húmeda tropical o zonas de alta montaña.</w:t>
      </w:r>
    </w:p>
    <w:p w:rsidR="00554FEE" w:rsidRPr="003C1075" w:rsidRDefault="001000CA">
      <w:pPr>
        <w:numPr>
          <w:ilvl w:val="0"/>
          <w:numId w:val="16"/>
        </w:numPr>
        <w:jc w:val="both"/>
        <w:rPr>
          <w:rFonts w:ascii="Arial" w:hAnsi="Arial" w:cs="Arial"/>
          <w:sz w:val="24"/>
          <w:szCs w:val="24"/>
        </w:rPr>
      </w:pPr>
      <w:r w:rsidRPr="003C1075">
        <w:rPr>
          <w:rFonts w:ascii="Arial" w:hAnsi="Arial" w:cs="Arial"/>
          <w:b/>
          <w:bCs/>
          <w:sz w:val="24"/>
          <w:szCs w:val="24"/>
        </w:rPr>
        <w:t>Intervención en Bienes de Interés Cultural (BIC):</w:t>
      </w:r>
      <w:r w:rsidRPr="003C1075">
        <w:rPr>
          <w:rFonts w:ascii="Arial" w:hAnsi="Arial" w:cs="Arial"/>
          <w:sz w:val="24"/>
          <w:szCs w:val="24"/>
        </w:rPr>
        <w:t xml:space="preserve"> La implementación de tecnologías ambientales (como paneles solares o sistemas de recolección de aguas lluvias) está supeditada a las restricciones de conservación arquitectónica y patrimonial de las sedes (ej. claustros coloniales o zonas arqueológicas), lo que exige soluciones no invasivas.</w:t>
      </w:r>
    </w:p>
    <w:p w:rsidR="00554FEE" w:rsidRPr="003C1075" w:rsidRDefault="001000CA">
      <w:pPr>
        <w:numPr>
          <w:ilvl w:val="0"/>
          <w:numId w:val="16"/>
        </w:numPr>
        <w:jc w:val="both"/>
        <w:rPr>
          <w:rFonts w:ascii="Arial" w:hAnsi="Arial" w:cs="Arial"/>
          <w:sz w:val="24"/>
          <w:szCs w:val="24"/>
        </w:rPr>
      </w:pPr>
      <w:r w:rsidRPr="003C1075">
        <w:rPr>
          <w:rFonts w:ascii="Arial" w:hAnsi="Arial" w:cs="Arial"/>
          <w:b/>
          <w:bCs/>
          <w:sz w:val="24"/>
          <w:szCs w:val="24"/>
        </w:rPr>
        <w:t>Estacionalidad del Servicio:</w:t>
      </w:r>
      <w:r w:rsidRPr="003C1075">
        <w:rPr>
          <w:rFonts w:ascii="Arial" w:hAnsi="Arial" w:cs="Arial"/>
          <w:sz w:val="24"/>
          <w:szCs w:val="24"/>
        </w:rPr>
        <w:t xml:space="preserve"> La generación de impactos ambientales en los Parques Arqueológicos no es lineal; presenta picos drásticos en temporadas vacacionales (Semana Santa, mitad y fin de año), exigiendo una capacidad de respuesta flexible en la gestión de residuos y agua.</w:t>
      </w:r>
    </w:p>
    <w:p w:rsidR="00554FEE" w:rsidRPr="003C1075" w:rsidRDefault="001000CA">
      <w:pPr>
        <w:jc w:val="both"/>
        <w:rPr>
          <w:rFonts w:ascii="Arial" w:hAnsi="Arial" w:cs="Arial"/>
          <w:b/>
          <w:bCs/>
          <w:sz w:val="24"/>
          <w:szCs w:val="24"/>
        </w:rPr>
      </w:pPr>
      <w:r w:rsidRPr="003C1075">
        <w:rPr>
          <w:rFonts w:ascii="Arial" w:hAnsi="Arial" w:cs="Arial"/>
          <w:b/>
          <w:bCs/>
          <w:sz w:val="24"/>
          <w:szCs w:val="24"/>
        </w:rPr>
        <w:t>1.3. Articulación Interna (Sistémica):</w:t>
      </w:r>
    </w:p>
    <w:p w:rsidR="00554FEE" w:rsidRPr="003C1075" w:rsidRDefault="001000CA">
      <w:pPr>
        <w:jc w:val="both"/>
        <w:rPr>
          <w:rFonts w:ascii="Arial" w:hAnsi="Arial" w:cs="Arial"/>
          <w:sz w:val="24"/>
          <w:szCs w:val="24"/>
        </w:rPr>
      </w:pPr>
      <w:r w:rsidRPr="003C1075">
        <w:rPr>
          <w:rFonts w:ascii="Arial" w:hAnsi="Arial" w:cs="Arial"/>
          <w:sz w:val="24"/>
          <w:szCs w:val="24"/>
        </w:rPr>
        <w:t>El PIGA no opera de forma aislada, sino que se articula con los siguientes sistemas y procesos internos bajo el modelo MIPG:</w:t>
      </w:r>
    </w:p>
    <w:p w:rsidR="00554FEE" w:rsidRPr="003C1075" w:rsidRDefault="001000CA">
      <w:pPr>
        <w:numPr>
          <w:ilvl w:val="0"/>
          <w:numId w:val="17"/>
        </w:numPr>
        <w:jc w:val="both"/>
        <w:rPr>
          <w:rFonts w:ascii="Arial" w:hAnsi="Arial" w:cs="Arial"/>
          <w:sz w:val="24"/>
          <w:szCs w:val="24"/>
        </w:rPr>
      </w:pPr>
      <w:r w:rsidRPr="003C1075">
        <w:rPr>
          <w:rFonts w:ascii="Arial" w:hAnsi="Arial" w:cs="Arial"/>
          <w:b/>
          <w:bCs/>
          <w:sz w:val="24"/>
          <w:szCs w:val="24"/>
        </w:rPr>
        <w:lastRenderedPageBreak/>
        <w:t>Con el Sistema de Gestión de Seguridad y Salud en el Trabajo (SG-SST):</w:t>
      </w:r>
      <w:r w:rsidRPr="003C1075">
        <w:rPr>
          <w:rFonts w:ascii="Arial" w:hAnsi="Arial" w:cs="Arial"/>
          <w:sz w:val="24"/>
          <w:szCs w:val="24"/>
        </w:rPr>
        <w:t xml:space="preserve"> Se coordinan de manera conjunta los protocolos para el manejo de sustancias químicas y residuos peligrosos, garantizando que la protección ambiental no comprometa la seguridad del trabajador.</w:t>
      </w:r>
    </w:p>
    <w:p w:rsidR="00554FEE" w:rsidRPr="003C1075" w:rsidRDefault="001000CA">
      <w:pPr>
        <w:numPr>
          <w:ilvl w:val="0"/>
          <w:numId w:val="17"/>
        </w:numPr>
        <w:jc w:val="both"/>
        <w:rPr>
          <w:rFonts w:ascii="Arial" w:hAnsi="Arial" w:cs="Arial"/>
          <w:sz w:val="24"/>
          <w:szCs w:val="24"/>
        </w:rPr>
      </w:pPr>
      <w:r w:rsidRPr="003C1075">
        <w:rPr>
          <w:rFonts w:ascii="Arial" w:hAnsi="Arial" w:cs="Arial"/>
          <w:b/>
          <w:bCs/>
          <w:sz w:val="24"/>
          <w:szCs w:val="24"/>
        </w:rPr>
        <w:t>Con Gestión Contractual y Compras:</w:t>
      </w:r>
      <w:r w:rsidRPr="003C1075">
        <w:rPr>
          <w:rFonts w:ascii="Arial" w:hAnsi="Arial" w:cs="Arial"/>
          <w:sz w:val="24"/>
          <w:szCs w:val="24"/>
        </w:rPr>
        <w:t xml:space="preserve"> Se integra a través de la inclusión de criterios de "Compras Públicas Sostenibles" en los estudios previos y pliegos de condiciones para la adquisición de bienes y servicios.</w:t>
      </w:r>
    </w:p>
    <w:p w:rsidR="00554FEE" w:rsidRPr="003C1075" w:rsidRDefault="001000CA">
      <w:pPr>
        <w:numPr>
          <w:ilvl w:val="0"/>
          <w:numId w:val="17"/>
        </w:numPr>
        <w:jc w:val="both"/>
        <w:rPr>
          <w:rFonts w:ascii="Arial" w:hAnsi="Arial" w:cs="Arial"/>
          <w:sz w:val="24"/>
          <w:szCs w:val="24"/>
        </w:rPr>
      </w:pPr>
      <w:r w:rsidRPr="003C1075">
        <w:rPr>
          <w:rFonts w:ascii="Arial" w:hAnsi="Arial" w:cs="Arial"/>
          <w:b/>
          <w:bCs/>
          <w:sz w:val="24"/>
          <w:szCs w:val="24"/>
        </w:rPr>
        <w:t>Con Infraestructura y Mantenimiento:</w:t>
      </w:r>
      <w:r w:rsidRPr="003C1075">
        <w:rPr>
          <w:rFonts w:ascii="Arial" w:hAnsi="Arial" w:cs="Arial"/>
          <w:sz w:val="24"/>
          <w:szCs w:val="24"/>
        </w:rPr>
        <w:t xml:space="preserve"> Se articula para asegurar el mantenimiento preventivo de redes hidrosanitarias y eléctricas, evitando fugas y desperdicios. </w:t>
      </w:r>
    </w:p>
    <w:p w:rsidR="00554FEE" w:rsidRPr="003C1075" w:rsidRDefault="00554FEE">
      <w:pPr>
        <w:jc w:val="both"/>
        <w:rPr>
          <w:rFonts w:ascii="Arial" w:hAnsi="Arial" w:cs="Arial"/>
          <w:i/>
          <w:iCs/>
          <w:sz w:val="24"/>
          <w:szCs w:val="24"/>
          <w:highlight w:val="lightGray"/>
        </w:rPr>
      </w:pP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49" w:name="_heading=h.ov3h208lnqnl" w:colFirst="0" w:colLast="0"/>
      <w:bookmarkEnd w:id="49"/>
      <w:r w:rsidRPr="003C1075">
        <w:rPr>
          <w:rFonts w:ascii="Arial" w:hAnsi="Arial" w:cs="Arial"/>
          <w:b/>
          <w:bCs/>
          <w:color w:val="000000"/>
          <w:sz w:val="24"/>
          <w:szCs w:val="24"/>
        </w:rPr>
        <w:t xml:space="preserve">Diagnóstico y justificación </w:t>
      </w:r>
    </w:p>
    <w:p w:rsidR="00554FEE" w:rsidRPr="003C1075" w:rsidRDefault="00554FEE">
      <w:pPr>
        <w:jc w:val="both"/>
        <w:rPr>
          <w:rFonts w:ascii="Arial" w:hAnsi="Arial" w:cs="Arial"/>
          <w:color w:val="EE0000"/>
          <w:sz w:val="24"/>
          <w:szCs w:val="24"/>
        </w:rPr>
      </w:pPr>
    </w:p>
    <w:p w:rsidR="00554FEE" w:rsidRPr="003C1075" w:rsidRDefault="001000CA">
      <w:pPr>
        <w:jc w:val="both"/>
        <w:rPr>
          <w:rFonts w:ascii="Arial" w:hAnsi="Arial" w:cs="Arial"/>
          <w:sz w:val="24"/>
          <w:szCs w:val="24"/>
        </w:rPr>
      </w:pPr>
      <w:r w:rsidRPr="003C1075">
        <w:rPr>
          <w:rFonts w:ascii="Arial" w:hAnsi="Arial" w:cs="Arial"/>
          <w:sz w:val="24"/>
          <w:szCs w:val="24"/>
        </w:rPr>
        <w:t xml:space="preserve">La formulación del presente Plan Institucional de Gestión Ambiental (PIGA) surge del análisis detallado del desempeño ambiental del ICANH en la vigencia anterior, así como </w:t>
      </w:r>
      <w:r w:rsidRPr="003C1075">
        <w:rPr>
          <w:rFonts w:ascii="Arial" w:hAnsi="Arial" w:cs="Arial"/>
          <w:b/>
          <w:bCs/>
          <w:sz w:val="24"/>
          <w:szCs w:val="24"/>
        </w:rPr>
        <w:t>de la Revisión Ambiental Inicial (RAI). A través del seguimiento a indicadores de consumo, auditorías</w:t>
      </w:r>
      <w:r w:rsidRPr="003C1075">
        <w:rPr>
          <w:rFonts w:ascii="Arial" w:hAnsi="Arial" w:cs="Arial"/>
          <w:sz w:val="24"/>
          <w:szCs w:val="24"/>
        </w:rPr>
        <w:t xml:space="preserve"> internas y la matriz de aspectos e impactos ambientales, se han identificado brechas y necesidades específicas que requieren intervención prioritaria:</w:t>
      </w:r>
    </w:p>
    <w:p w:rsidR="00554FEE" w:rsidRPr="003C1075" w:rsidRDefault="001000CA">
      <w:pPr>
        <w:jc w:val="both"/>
        <w:rPr>
          <w:rFonts w:ascii="Arial" w:hAnsi="Arial" w:cs="Arial"/>
          <w:sz w:val="24"/>
          <w:szCs w:val="24"/>
        </w:rPr>
      </w:pPr>
      <w:r w:rsidRPr="003C1075">
        <w:rPr>
          <w:rFonts w:ascii="Arial" w:hAnsi="Arial" w:cs="Arial"/>
          <w:b/>
          <w:bCs/>
          <w:sz w:val="24"/>
          <w:szCs w:val="24"/>
        </w:rPr>
        <w:t>A. Heterogeneidad en la Gestión de Residuos:</w:t>
      </w:r>
      <w:r w:rsidRPr="003C1075">
        <w:rPr>
          <w:rFonts w:ascii="Arial" w:hAnsi="Arial" w:cs="Arial"/>
          <w:sz w:val="24"/>
          <w:szCs w:val="24"/>
        </w:rPr>
        <w:t xml:space="preserve"> El diagnóstico evidencia una brecha significativa entre la gestión de residuos en sedes administrativas y las áreas misionales.</w:t>
      </w:r>
    </w:p>
    <w:p w:rsidR="00554FEE" w:rsidRPr="003C1075" w:rsidRDefault="001000CA">
      <w:pPr>
        <w:numPr>
          <w:ilvl w:val="0"/>
          <w:numId w:val="2"/>
        </w:numPr>
        <w:jc w:val="both"/>
        <w:rPr>
          <w:rFonts w:ascii="Arial" w:hAnsi="Arial" w:cs="Arial"/>
          <w:sz w:val="24"/>
          <w:szCs w:val="24"/>
        </w:rPr>
      </w:pPr>
      <w:r w:rsidRPr="003C1075">
        <w:rPr>
          <w:rFonts w:ascii="Arial" w:hAnsi="Arial" w:cs="Arial"/>
          <w:b/>
          <w:bCs/>
          <w:sz w:val="24"/>
          <w:szCs w:val="24"/>
        </w:rPr>
        <w:t>Situación encontrada:</w:t>
      </w:r>
      <w:r w:rsidRPr="003C1075">
        <w:rPr>
          <w:rFonts w:ascii="Arial" w:hAnsi="Arial" w:cs="Arial"/>
          <w:sz w:val="24"/>
          <w:szCs w:val="24"/>
        </w:rPr>
        <w:t xml:space="preserve"> Mientras que en las oficinas de Bogotá se generan mayoritariamente residuos aprovechables (papel/cartón), en los Laboratorios de Arqueología y Conservación y en los Parques Arqueológicos se identificó una gestión compleja de residuos peligrosos (químicos resultantes de restauración) y ordinarios (generados por visitantes), que en ocasiones carecen de una ruta de disposición final estandarizada debido a la ubicación remota de los parques.</w:t>
      </w:r>
    </w:p>
    <w:p w:rsidR="00554FEE" w:rsidRPr="003C1075" w:rsidRDefault="001000CA">
      <w:pPr>
        <w:numPr>
          <w:ilvl w:val="0"/>
          <w:numId w:val="2"/>
        </w:numPr>
        <w:jc w:val="both"/>
        <w:rPr>
          <w:rFonts w:ascii="Arial" w:hAnsi="Arial" w:cs="Arial"/>
          <w:sz w:val="24"/>
          <w:szCs w:val="24"/>
        </w:rPr>
      </w:pPr>
      <w:r w:rsidRPr="003C1075">
        <w:rPr>
          <w:rFonts w:ascii="Arial" w:hAnsi="Arial" w:cs="Arial"/>
          <w:b/>
          <w:bCs/>
          <w:sz w:val="24"/>
          <w:szCs w:val="24"/>
        </w:rPr>
        <w:t>Necesidad:</w:t>
      </w:r>
      <w:r w:rsidRPr="003C1075">
        <w:rPr>
          <w:rFonts w:ascii="Arial" w:hAnsi="Arial" w:cs="Arial"/>
          <w:sz w:val="24"/>
          <w:szCs w:val="24"/>
        </w:rPr>
        <w:t xml:space="preserve"> Unificar criterios de segregación y garantizar la trazabilidad de los residuos peligrosos (RESPEL) y biológicos desde su generación hasta su disposición final certificada.</w:t>
      </w:r>
    </w:p>
    <w:p w:rsidR="00554FEE" w:rsidRPr="003C1075" w:rsidRDefault="001000CA">
      <w:pPr>
        <w:jc w:val="both"/>
        <w:rPr>
          <w:rFonts w:ascii="Arial" w:hAnsi="Arial" w:cs="Arial"/>
          <w:sz w:val="24"/>
          <w:szCs w:val="24"/>
        </w:rPr>
      </w:pPr>
      <w:r w:rsidRPr="003C1075">
        <w:rPr>
          <w:rFonts w:ascii="Arial" w:hAnsi="Arial" w:cs="Arial"/>
          <w:b/>
          <w:bCs/>
          <w:sz w:val="24"/>
          <w:szCs w:val="24"/>
        </w:rPr>
        <w:lastRenderedPageBreak/>
        <w:t>B. Ineficiencias en el Consumo de Recursos (Agua y Energía):</w:t>
      </w:r>
      <w:r w:rsidRPr="003C1075">
        <w:rPr>
          <w:rFonts w:ascii="Arial" w:hAnsi="Arial" w:cs="Arial"/>
          <w:sz w:val="24"/>
          <w:szCs w:val="24"/>
        </w:rPr>
        <w:t xml:space="preserve"> El análisis de facturación y consumos per cápita ha revelado patrones de consumo ineficiente asociados a la infraestructura física.</w:t>
      </w:r>
    </w:p>
    <w:p w:rsidR="00554FEE" w:rsidRPr="003C1075" w:rsidRDefault="001000CA">
      <w:pPr>
        <w:numPr>
          <w:ilvl w:val="0"/>
          <w:numId w:val="3"/>
        </w:numPr>
        <w:jc w:val="both"/>
        <w:rPr>
          <w:rFonts w:ascii="Arial" w:hAnsi="Arial" w:cs="Arial"/>
          <w:sz w:val="24"/>
          <w:szCs w:val="24"/>
        </w:rPr>
      </w:pPr>
      <w:r w:rsidRPr="003C1075">
        <w:rPr>
          <w:rFonts w:ascii="Arial" w:hAnsi="Arial" w:cs="Arial"/>
          <w:b/>
          <w:bCs/>
          <w:sz w:val="24"/>
          <w:szCs w:val="24"/>
        </w:rPr>
        <w:t>Situación encontrada:</w:t>
      </w:r>
      <w:r w:rsidRPr="003C1075">
        <w:rPr>
          <w:rFonts w:ascii="Arial" w:hAnsi="Arial" w:cs="Arial"/>
          <w:sz w:val="24"/>
          <w:szCs w:val="24"/>
        </w:rPr>
        <w:t xml:space="preserve"> Las sedes que funcionan en Bienes de Interés Cultural (BIC) o edificaciones antiguas presentan infraestructuras hidrosanitarias y eléctricas obsoletas, lo que genera fugas imperceptibles y baja eficiencia energética (iluminación antigua, aislamiento térmico deficiente). Asimismo, el control del consumo de agua en los parques arqueológicos durante temporadas altas de turismo ha demostrado ser un punto crítico de presión sobre los acueductos </w:t>
      </w:r>
      <w:proofErr w:type="spellStart"/>
      <w:r w:rsidRPr="003C1075">
        <w:rPr>
          <w:rFonts w:ascii="Arial" w:hAnsi="Arial" w:cs="Arial"/>
          <w:sz w:val="24"/>
          <w:szCs w:val="24"/>
        </w:rPr>
        <w:t>veredales</w:t>
      </w:r>
      <w:proofErr w:type="spellEnd"/>
      <w:r w:rsidRPr="003C1075">
        <w:rPr>
          <w:rFonts w:ascii="Arial" w:hAnsi="Arial" w:cs="Arial"/>
          <w:sz w:val="24"/>
          <w:szCs w:val="24"/>
        </w:rPr>
        <w:t>.</w:t>
      </w:r>
    </w:p>
    <w:p w:rsidR="00554FEE" w:rsidRPr="003C1075" w:rsidRDefault="001000CA">
      <w:pPr>
        <w:numPr>
          <w:ilvl w:val="0"/>
          <w:numId w:val="3"/>
        </w:numPr>
        <w:jc w:val="both"/>
        <w:rPr>
          <w:rFonts w:ascii="Arial" w:hAnsi="Arial" w:cs="Arial"/>
          <w:sz w:val="24"/>
          <w:szCs w:val="24"/>
        </w:rPr>
      </w:pPr>
      <w:r w:rsidRPr="003C1075">
        <w:rPr>
          <w:rFonts w:ascii="Arial" w:hAnsi="Arial" w:cs="Arial"/>
          <w:b/>
          <w:bCs/>
          <w:sz w:val="24"/>
          <w:szCs w:val="24"/>
        </w:rPr>
        <w:t>Necesidad:</w:t>
      </w:r>
      <w:r w:rsidRPr="003C1075">
        <w:rPr>
          <w:rFonts w:ascii="Arial" w:hAnsi="Arial" w:cs="Arial"/>
          <w:sz w:val="24"/>
          <w:szCs w:val="24"/>
        </w:rPr>
        <w:t xml:space="preserve"> Implementar un programa de reconversión tecnológica gradual y monitoreo en tiempo real para detectar fugas y picos de consumo atípicos.</w:t>
      </w:r>
    </w:p>
    <w:p w:rsidR="00554FEE" w:rsidRPr="003C1075" w:rsidRDefault="001000CA">
      <w:pPr>
        <w:jc w:val="both"/>
        <w:rPr>
          <w:rFonts w:ascii="Arial" w:hAnsi="Arial" w:cs="Arial"/>
          <w:sz w:val="24"/>
          <w:szCs w:val="24"/>
        </w:rPr>
      </w:pPr>
      <w:r w:rsidRPr="003C1075">
        <w:rPr>
          <w:rFonts w:ascii="Arial" w:hAnsi="Arial" w:cs="Arial"/>
          <w:b/>
          <w:bCs/>
          <w:sz w:val="24"/>
          <w:szCs w:val="24"/>
        </w:rPr>
        <w:t>C. Cultura Ambiental y Brechas de Comportamiento:</w:t>
      </w:r>
      <w:r w:rsidRPr="003C1075">
        <w:rPr>
          <w:rFonts w:ascii="Arial" w:hAnsi="Arial" w:cs="Arial"/>
          <w:sz w:val="24"/>
          <w:szCs w:val="24"/>
        </w:rPr>
        <w:t xml:space="preserve"> Las evaluaciones de cultura organizacional indican que, aunque existe voluntad, hay desconocimiento técnico.</w:t>
      </w:r>
    </w:p>
    <w:p w:rsidR="00554FEE" w:rsidRPr="003C1075" w:rsidRDefault="001000CA">
      <w:pPr>
        <w:numPr>
          <w:ilvl w:val="0"/>
          <w:numId w:val="4"/>
        </w:numPr>
        <w:jc w:val="both"/>
        <w:rPr>
          <w:rFonts w:ascii="Arial" w:hAnsi="Arial" w:cs="Arial"/>
          <w:sz w:val="24"/>
          <w:szCs w:val="24"/>
        </w:rPr>
      </w:pPr>
      <w:r w:rsidRPr="003C1075">
        <w:rPr>
          <w:rFonts w:ascii="Arial" w:hAnsi="Arial" w:cs="Arial"/>
          <w:b/>
          <w:bCs/>
          <w:sz w:val="24"/>
          <w:szCs w:val="24"/>
        </w:rPr>
        <w:t>Situación encontrada:</w:t>
      </w:r>
      <w:r w:rsidRPr="003C1075">
        <w:rPr>
          <w:rFonts w:ascii="Arial" w:hAnsi="Arial" w:cs="Arial"/>
          <w:sz w:val="24"/>
          <w:szCs w:val="24"/>
        </w:rPr>
        <w:t xml:space="preserve"> Se detectó confusión en el personal respecto a la aplicación del nuevo código de colores (Resolución 2184 de 2019) y prácticas inadecuadas en la disposición de residuos de aparatos eléctricos y electrónicos (RAEE).</w:t>
      </w:r>
    </w:p>
    <w:p w:rsidR="00554FEE" w:rsidRPr="003C1075" w:rsidRDefault="001000CA">
      <w:pPr>
        <w:numPr>
          <w:ilvl w:val="0"/>
          <w:numId w:val="4"/>
        </w:numPr>
        <w:jc w:val="both"/>
        <w:rPr>
          <w:rFonts w:ascii="Arial" w:hAnsi="Arial" w:cs="Arial"/>
          <w:sz w:val="24"/>
          <w:szCs w:val="24"/>
        </w:rPr>
      </w:pPr>
      <w:r w:rsidRPr="003C1075">
        <w:rPr>
          <w:rFonts w:ascii="Arial" w:hAnsi="Arial" w:cs="Arial"/>
          <w:b/>
          <w:bCs/>
          <w:sz w:val="24"/>
          <w:szCs w:val="24"/>
        </w:rPr>
        <w:t>Necesidad:</w:t>
      </w:r>
      <w:r w:rsidRPr="003C1075">
        <w:rPr>
          <w:rFonts w:ascii="Arial" w:hAnsi="Arial" w:cs="Arial"/>
          <w:sz w:val="24"/>
          <w:szCs w:val="24"/>
        </w:rPr>
        <w:t xml:space="preserve"> Fortalecer las competencias mediante capacitación continua y señalización efectiva en todas las sedes.</w:t>
      </w:r>
    </w:p>
    <w:p w:rsidR="00554FEE" w:rsidRPr="003C1075" w:rsidRDefault="001000CA">
      <w:pPr>
        <w:jc w:val="center"/>
        <w:rPr>
          <w:rFonts w:ascii="Arial" w:hAnsi="Arial" w:cs="Arial"/>
          <w:sz w:val="24"/>
          <w:szCs w:val="24"/>
        </w:rPr>
      </w:pPr>
      <w:r w:rsidRPr="003C1075">
        <w:rPr>
          <w:rFonts w:ascii="Arial" w:hAnsi="Arial" w:cs="Arial"/>
          <w:b/>
          <w:bCs/>
          <w:sz w:val="24"/>
          <w:szCs w:val="24"/>
        </w:rPr>
        <w:lastRenderedPageBreak/>
        <w:t>Estado Diagnóstico Consumo de Energía Eléctrica:</w:t>
      </w:r>
      <w:r w:rsidRPr="003C1075">
        <w:rPr>
          <w:rFonts w:ascii="Arial" w:hAnsi="Arial" w:cs="Arial"/>
          <w:noProof/>
          <w:sz w:val="24"/>
          <w:szCs w:val="24"/>
          <w:lang w:val="es-CO"/>
        </w:rPr>
        <w:drawing>
          <wp:inline distT="114300" distB="114300" distL="114300" distR="114300">
            <wp:extent cx="4029075" cy="2571750"/>
            <wp:effectExtent l="0" t="0" r="0" b="0"/>
            <wp:docPr id="70715215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4029075" cy="2571750"/>
                    </a:xfrm>
                    <a:prstGeom prst="rect">
                      <a:avLst/>
                    </a:prstGeom>
                    <a:ln/>
                  </pic:spPr>
                </pic:pic>
              </a:graphicData>
            </a:graphic>
          </wp:inline>
        </w:drawing>
      </w:r>
      <w:r w:rsidRPr="003C1075">
        <w:rPr>
          <w:rFonts w:ascii="Arial" w:hAnsi="Arial" w:cs="Arial"/>
          <w:noProof/>
          <w:sz w:val="24"/>
          <w:szCs w:val="24"/>
          <w:lang w:val="es-CO"/>
        </w:rPr>
        <w:drawing>
          <wp:inline distT="114300" distB="114300" distL="114300" distR="114300">
            <wp:extent cx="4086225" cy="691483"/>
            <wp:effectExtent l="0" t="0" r="0" b="0"/>
            <wp:docPr id="7071521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b="45416"/>
                    <a:stretch>
                      <a:fillRect/>
                    </a:stretch>
                  </pic:blipFill>
                  <pic:spPr>
                    <a:xfrm>
                      <a:off x="0" y="0"/>
                      <a:ext cx="4086225" cy="691483"/>
                    </a:xfrm>
                    <a:prstGeom prst="rect">
                      <a:avLst/>
                    </a:prstGeom>
                    <a:ln/>
                  </pic:spPr>
                </pic:pic>
              </a:graphicData>
            </a:graphic>
          </wp:inline>
        </w:drawing>
      </w:r>
    </w:p>
    <w:p w:rsidR="00554FEE" w:rsidRPr="003C1075" w:rsidRDefault="001000CA">
      <w:pPr>
        <w:jc w:val="center"/>
        <w:rPr>
          <w:rFonts w:ascii="Arial" w:hAnsi="Arial" w:cs="Arial"/>
          <w:b/>
          <w:bCs/>
          <w:sz w:val="24"/>
          <w:szCs w:val="24"/>
        </w:rPr>
      </w:pPr>
      <w:r w:rsidRPr="003C1075">
        <w:rPr>
          <w:rFonts w:ascii="Arial" w:hAnsi="Arial" w:cs="Arial"/>
          <w:b/>
          <w:bCs/>
          <w:sz w:val="24"/>
          <w:szCs w:val="24"/>
        </w:rPr>
        <w:t>Estado Diagnóstico Consumo de Agua:</w:t>
      </w:r>
    </w:p>
    <w:p w:rsidR="00554FEE" w:rsidRPr="003C1075" w:rsidRDefault="001000CA">
      <w:pPr>
        <w:jc w:val="center"/>
        <w:rPr>
          <w:rFonts w:ascii="Arial" w:hAnsi="Arial" w:cs="Arial"/>
          <w:b/>
          <w:bCs/>
          <w:sz w:val="24"/>
          <w:szCs w:val="24"/>
        </w:rPr>
      </w:pPr>
      <w:r w:rsidRPr="003C1075">
        <w:rPr>
          <w:rFonts w:ascii="Arial" w:hAnsi="Arial" w:cs="Arial"/>
          <w:b/>
          <w:bCs/>
          <w:noProof/>
          <w:sz w:val="24"/>
          <w:szCs w:val="24"/>
          <w:lang w:val="es-CO"/>
        </w:rPr>
        <w:drawing>
          <wp:inline distT="114300" distB="114300" distL="114300" distR="114300">
            <wp:extent cx="4076700" cy="2438400"/>
            <wp:effectExtent l="0" t="0" r="0" b="0"/>
            <wp:docPr id="7071521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4076700" cy="2438400"/>
                    </a:xfrm>
                    <a:prstGeom prst="rect">
                      <a:avLst/>
                    </a:prstGeom>
                    <a:ln/>
                  </pic:spPr>
                </pic:pic>
              </a:graphicData>
            </a:graphic>
          </wp:inline>
        </w:drawing>
      </w:r>
    </w:p>
    <w:p w:rsidR="00554FEE" w:rsidRPr="003C1075" w:rsidRDefault="001000CA">
      <w:pPr>
        <w:jc w:val="center"/>
        <w:rPr>
          <w:rFonts w:ascii="Arial" w:hAnsi="Arial" w:cs="Arial"/>
          <w:b/>
          <w:bCs/>
          <w:sz w:val="24"/>
          <w:szCs w:val="24"/>
        </w:rPr>
      </w:pPr>
      <w:r w:rsidRPr="003C1075">
        <w:rPr>
          <w:rFonts w:ascii="Arial" w:hAnsi="Arial" w:cs="Arial"/>
          <w:b/>
          <w:bCs/>
          <w:noProof/>
          <w:sz w:val="24"/>
          <w:szCs w:val="24"/>
          <w:lang w:val="es-CO"/>
        </w:rPr>
        <w:lastRenderedPageBreak/>
        <w:drawing>
          <wp:inline distT="114300" distB="114300" distL="114300" distR="114300">
            <wp:extent cx="4029075" cy="3162300"/>
            <wp:effectExtent l="0" t="0" r="0" b="0"/>
            <wp:docPr id="7071521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4029075" cy="3162300"/>
                    </a:xfrm>
                    <a:prstGeom prst="rect">
                      <a:avLst/>
                    </a:prstGeom>
                    <a:ln/>
                  </pic:spPr>
                </pic:pic>
              </a:graphicData>
            </a:graphic>
          </wp:inline>
        </w:drawing>
      </w:r>
    </w:p>
    <w:p w:rsidR="00554FEE" w:rsidRPr="003C1075" w:rsidRDefault="001000CA">
      <w:pPr>
        <w:jc w:val="both"/>
        <w:rPr>
          <w:rFonts w:ascii="Arial" w:hAnsi="Arial" w:cs="Arial"/>
          <w:sz w:val="24"/>
          <w:szCs w:val="24"/>
        </w:rPr>
      </w:pPr>
      <w:r w:rsidRPr="003C1075">
        <w:rPr>
          <w:rFonts w:ascii="Arial" w:hAnsi="Arial" w:cs="Arial"/>
          <w:sz w:val="24"/>
          <w:szCs w:val="24"/>
        </w:rPr>
        <w:t xml:space="preserve">D. </w:t>
      </w:r>
      <w:r w:rsidRPr="003C1075">
        <w:rPr>
          <w:rFonts w:ascii="Arial" w:hAnsi="Arial" w:cs="Arial"/>
          <w:b/>
          <w:bCs/>
          <w:sz w:val="24"/>
          <w:szCs w:val="24"/>
        </w:rPr>
        <w:t>Manejo de Residuos Generados por el Cambio de Aceite en Equipos, Herramientas y Vehículos:</w:t>
      </w:r>
    </w:p>
    <w:p w:rsidR="00554FEE" w:rsidRPr="003C1075" w:rsidRDefault="001000CA">
      <w:pPr>
        <w:spacing w:line="240" w:lineRule="auto"/>
        <w:jc w:val="both"/>
        <w:rPr>
          <w:rFonts w:ascii="Arial" w:hAnsi="Arial" w:cs="Arial"/>
          <w:sz w:val="24"/>
          <w:szCs w:val="24"/>
        </w:rPr>
      </w:pPr>
      <w:r w:rsidRPr="003C1075">
        <w:rPr>
          <w:rFonts w:ascii="Arial" w:hAnsi="Arial" w:cs="Arial"/>
          <w:sz w:val="24"/>
          <w:szCs w:val="24"/>
        </w:rPr>
        <w:t>En el marco de la ejecución del Contrato No. 389-2025, y como parte de las actividades de mantenimiento preventivo y correctivo contempladas en el Plan de Mantenimiento de Infraestructura 2025, desarrolladas en los parques arqueológicos y sedes administrativas de la entidad, se llevó a cabo el diagnóstico del manejo de los residuos generados por el cambio de aceite en equipos, maquinaria, herramientas y vehículos institucionales utilizados para el desarrollo de las labores operativas.</w:t>
      </w:r>
    </w:p>
    <w:p w:rsidR="00554FEE" w:rsidRPr="003C1075" w:rsidRDefault="001000CA">
      <w:pPr>
        <w:spacing w:line="240" w:lineRule="auto"/>
        <w:jc w:val="both"/>
        <w:rPr>
          <w:rFonts w:ascii="Arial" w:hAnsi="Arial" w:cs="Arial"/>
          <w:sz w:val="24"/>
          <w:szCs w:val="24"/>
        </w:rPr>
      </w:pPr>
      <w:r w:rsidRPr="003C1075">
        <w:rPr>
          <w:rFonts w:ascii="Arial" w:hAnsi="Arial" w:cs="Arial"/>
          <w:sz w:val="24"/>
          <w:szCs w:val="24"/>
        </w:rPr>
        <w:t>Como resultado de las actividades de mantenimiento, se identificó la generación de residuos peligrosos, principalmente aceites lubricantes usados, así como residuos asociados tales como filtros de aceite contaminados, estopas, trapos impregnados y envases vacíos con restos de hidrocarburos. Estos residuos, debido a sus características físicas y químicas que incluyen la presencia de metales pesados, compuestos orgánicos persistentes y sustancias potencialmente tóxicas, requieren un manejo especial y diferenciado conforme a la normativa ambiental vigente.</w:t>
      </w:r>
    </w:p>
    <w:tbl>
      <w:tblPr>
        <w:tblStyle w:val="afc"/>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554FEE" w:rsidRPr="003C1075">
        <w:tc>
          <w:tcPr>
            <w:tcW w:w="8828" w:type="dxa"/>
            <w:gridSpan w:val="2"/>
            <w:shd w:val="clear" w:color="auto" w:fill="BFBFBF"/>
          </w:tcPr>
          <w:p w:rsidR="00554FEE" w:rsidRPr="003C1075" w:rsidRDefault="001000CA">
            <w:pPr>
              <w:spacing w:after="160"/>
              <w:jc w:val="center"/>
              <w:rPr>
                <w:rFonts w:ascii="Arial" w:hAnsi="Arial" w:cs="Arial"/>
                <w:b/>
                <w:bCs/>
                <w:sz w:val="24"/>
                <w:szCs w:val="24"/>
              </w:rPr>
            </w:pPr>
            <w:r w:rsidRPr="003C1075">
              <w:rPr>
                <w:rFonts w:ascii="Arial" w:hAnsi="Arial" w:cs="Arial"/>
                <w:b/>
                <w:bCs/>
                <w:sz w:val="24"/>
                <w:szCs w:val="24"/>
              </w:rPr>
              <w:t>MANTENIMIENTO DE EQUIPOS Y HERRAMIENTAS</w:t>
            </w:r>
          </w:p>
        </w:tc>
      </w:tr>
      <w:tr w:rsidR="00554FEE" w:rsidRPr="003C1075">
        <w:tc>
          <w:tcPr>
            <w:tcW w:w="4414" w:type="dxa"/>
          </w:tcPr>
          <w:p w:rsidR="00554FEE" w:rsidRPr="003C1075" w:rsidRDefault="001000CA">
            <w:pPr>
              <w:spacing w:after="160"/>
              <w:jc w:val="center"/>
              <w:rPr>
                <w:rFonts w:ascii="Arial" w:hAnsi="Arial" w:cs="Arial"/>
                <w:sz w:val="24"/>
                <w:szCs w:val="24"/>
              </w:rPr>
            </w:pPr>
            <w:r w:rsidRPr="003C1075">
              <w:rPr>
                <w:rFonts w:ascii="Arial" w:eastAsia="Times New Roman" w:hAnsi="Arial" w:cs="Arial"/>
                <w:noProof/>
                <w:sz w:val="24"/>
                <w:szCs w:val="24"/>
                <w:lang w:val="es-CO"/>
              </w:rPr>
              <w:lastRenderedPageBreak/>
              <w:drawing>
                <wp:inline distT="0" distB="0" distL="0" distR="0">
                  <wp:extent cx="2629013" cy="1896599"/>
                  <wp:effectExtent l="0" t="0" r="0" b="0"/>
                  <wp:docPr id="70715215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2629013" cy="1896599"/>
                          </a:xfrm>
                          <a:prstGeom prst="rect">
                            <a:avLst/>
                          </a:prstGeom>
                          <a:ln/>
                        </pic:spPr>
                      </pic:pic>
                    </a:graphicData>
                  </a:graphic>
                </wp:inline>
              </w:drawing>
            </w:r>
          </w:p>
        </w:tc>
        <w:tc>
          <w:tcPr>
            <w:tcW w:w="4414" w:type="dxa"/>
          </w:tcPr>
          <w:p w:rsidR="00554FEE" w:rsidRPr="003C1075" w:rsidRDefault="001000CA">
            <w:pPr>
              <w:spacing w:after="160"/>
              <w:jc w:val="center"/>
              <w:rPr>
                <w:rFonts w:ascii="Arial" w:hAnsi="Arial" w:cs="Arial"/>
                <w:sz w:val="24"/>
                <w:szCs w:val="24"/>
              </w:rPr>
            </w:pPr>
            <w:r w:rsidRPr="003C1075">
              <w:rPr>
                <w:rFonts w:ascii="Arial" w:eastAsia="Times New Roman" w:hAnsi="Arial" w:cs="Arial"/>
                <w:noProof/>
                <w:sz w:val="24"/>
                <w:szCs w:val="24"/>
                <w:lang w:val="es-CO"/>
              </w:rPr>
              <w:drawing>
                <wp:inline distT="0" distB="0" distL="0" distR="0">
                  <wp:extent cx="2336622" cy="1897674"/>
                  <wp:effectExtent l="0" t="0" r="0" b="0"/>
                  <wp:docPr id="70715215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2336622" cy="1897674"/>
                          </a:xfrm>
                          <a:prstGeom prst="rect">
                            <a:avLst/>
                          </a:prstGeom>
                          <a:ln/>
                        </pic:spPr>
                      </pic:pic>
                    </a:graphicData>
                  </a:graphic>
                </wp:inline>
              </w:drawing>
            </w:r>
          </w:p>
        </w:tc>
      </w:tr>
      <w:tr w:rsidR="00554FEE" w:rsidRPr="003C1075">
        <w:tc>
          <w:tcPr>
            <w:tcW w:w="4414" w:type="dxa"/>
          </w:tcPr>
          <w:p w:rsidR="00554FEE" w:rsidRPr="003C1075" w:rsidRDefault="001000CA">
            <w:pPr>
              <w:spacing w:after="160"/>
              <w:jc w:val="center"/>
              <w:rPr>
                <w:rFonts w:ascii="Arial" w:eastAsia="Times New Roman" w:hAnsi="Arial" w:cs="Arial"/>
                <w:sz w:val="24"/>
                <w:szCs w:val="24"/>
              </w:rPr>
            </w:pPr>
            <w:r w:rsidRPr="003C1075">
              <w:rPr>
                <w:rFonts w:ascii="Arial" w:eastAsia="Times New Roman" w:hAnsi="Arial" w:cs="Arial"/>
                <w:noProof/>
                <w:sz w:val="24"/>
                <w:szCs w:val="24"/>
                <w:lang w:val="es-CO"/>
              </w:rPr>
              <w:drawing>
                <wp:inline distT="0" distB="0" distL="0" distR="0">
                  <wp:extent cx="2623081" cy="1968906"/>
                  <wp:effectExtent l="0" t="0" r="0" b="0"/>
                  <wp:docPr id="70715214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t="2834"/>
                          <a:stretch>
                            <a:fillRect/>
                          </a:stretch>
                        </pic:blipFill>
                        <pic:spPr>
                          <a:xfrm>
                            <a:off x="0" y="0"/>
                            <a:ext cx="2623081" cy="1968906"/>
                          </a:xfrm>
                          <a:prstGeom prst="rect">
                            <a:avLst/>
                          </a:prstGeom>
                          <a:ln/>
                        </pic:spPr>
                      </pic:pic>
                    </a:graphicData>
                  </a:graphic>
                </wp:inline>
              </w:drawing>
            </w:r>
          </w:p>
        </w:tc>
        <w:tc>
          <w:tcPr>
            <w:tcW w:w="4414" w:type="dxa"/>
          </w:tcPr>
          <w:p w:rsidR="00554FEE" w:rsidRPr="003C1075" w:rsidRDefault="001000CA">
            <w:pPr>
              <w:spacing w:after="160"/>
              <w:jc w:val="center"/>
              <w:rPr>
                <w:rFonts w:ascii="Arial" w:eastAsia="Times New Roman" w:hAnsi="Arial" w:cs="Arial"/>
                <w:sz w:val="24"/>
                <w:szCs w:val="24"/>
              </w:rPr>
            </w:pPr>
            <w:r w:rsidRPr="003C1075">
              <w:rPr>
                <w:rFonts w:ascii="Arial" w:eastAsia="Times New Roman" w:hAnsi="Arial" w:cs="Arial"/>
                <w:noProof/>
                <w:sz w:val="24"/>
                <w:szCs w:val="24"/>
                <w:lang w:val="es-CO"/>
              </w:rPr>
              <w:drawing>
                <wp:inline distT="0" distB="0" distL="0" distR="0">
                  <wp:extent cx="2319454" cy="1957579"/>
                  <wp:effectExtent l="0" t="0" r="0" b="0"/>
                  <wp:docPr id="70715215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2319454" cy="1957579"/>
                          </a:xfrm>
                          <a:prstGeom prst="rect">
                            <a:avLst/>
                          </a:prstGeom>
                          <a:ln/>
                        </pic:spPr>
                      </pic:pic>
                    </a:graphicData>
                  </a:graphic>
                </wp:inline>
              </w:drawing>
            </w:r>
          </w:p>
        </w:tc>
      </w:tr>
    </w:tbl>
    <w:p w:rsidR="00554FEE" w:rsidRPr="003C1075" w:rsidRDefault="00554FEE">
      <w:pPr>
        <w:spacing w:line="240" w:lineRule="auto"/>
        <w:jc w:val="both"/>
        <w:rPr>
          <w:rFonts w:ascii="Arial" w:hAnsi="Arial" w:cs="Arial"/>
          <w:sz w:val="24"/>
          <w:szCs w:val="24"/>
        </w:rPr>
      </w:pPr>
    </w:p>
    <w:p w:rsidR="00554FEE" w:rsidRPr="003C1075" w:rsidRDefault="001000CA">
      <w:pPr>
        <w:spacing w:line="240" w:lineRule="auto"/>
        <w:jc w:val="both"/>
        <w:rPr>
          <w:rFonts w:ascii="Arial" w:hAnsi="Arial" w:cs="Arial"/>
          <w:sz w:val="24"/>
          <w:szCs w:val="24"/>
        </w:rPr>
      </w:pPr>
      <w:r w:rsidRPr="003C1075">
        <w:rPr>
          <w:rFonts w:ascii="Arial" w:hAnsi="Arial" w:cs="Arial"/>
          <w:sz w:val="24"/>
          <w:szCs w:val="24"/>
        </w:rPr>
        <w:t>Durante la ejecución contractual se evidenció que las actividades de cambio de aceite se realizaron de manera controlada, aplicando medidas orientadas a la prevención de derrames y pérdidas, mediante el uso de recipientes adecuados para la recolección de aceites usados. Así mismo, se verificó la segregación de los residuos en el punto de generación, evitando su mezcla con residuos ordinarios y garantizando su correcta identificación, rotulación y almacenamiento temporal en recipientes herméticos.</w:t>
      </w:r>
    </w:p>
    <w:p w:rsidR="00554FEE" w:rsidRPr="003C1075" w:rsidRDefault="001000CA">
      <w:pPr>
        <w:spacing w:line="240" w:lineRule="auto"/>
        <w:jc w:val="both"/>
        <w:rPr>
          <w:rFonts w:ascii="Arial" w:hAnsi="Arial" w:cs="Arial"/>
          <w:sz w:val="24"/>
          <w:szCs w:val="24"/>
        </w:rPr>
      </w:pPr>
      <w:r w:rsidRPr="003C1075">
        <w:rPr>
          <w:rFonts w:ascii="Arial" w:hAnsi="Arial" w:cs="Arial"/>
          <w:sz w:val="24"/>
          <w:szCs w:val="24"/>
        </w:rPr>
        <w:t>Desde el punto de vista diagnóstico, se identificó que el manejo de los aceites usados exige una gestión integral y estricta en todas sus etapas: generación, recolección, almacenamiento temporal, transporte y disposición final. Una gestión inadecuada en cualquiera de estas fases incrementa significativamente los riesgos de derrames, filtraciones y vertimientos accidentales, cuyos impactos pueden resultar de difícil reversibilidad para los ecosistemas y la infraestructura.</w:t>
      </w:r>
    </w:p>
    <w:p w:rsidR="00554FEE" w:rsidRPr="003C1075" w:rsidRDefault="001000CA">
      <w:pPr>
        <w:spacing w:line="240" w:lineRule="auto"/>
        <w:jc w:val="both"/>
        <w:rPr>
          <w:rFonts w:ascii="Arial" w:hAnsi="Arial" w:cs="Arial"/>
          <w:sz w:val="24"/>
          <w:szCs w:val="24"/>
        </w:rPr>
      </w:pPr>
      <w:r w:rsidRPr="003C1075">
        <w:rPr>
          <w:rFonts w:ascii="Arial" w:hAnsi="Arial" w:cs="Arial"/>
          <w:sz w:val="24"/>
          <w:szCs w:val="24"/>
        </w:rPr>
        <w:lastRenderedPageBreak/>
        <w:t xml:space="preserve">Adicionalmente, se evidencian riesgos asociados a la manipulación de los aceites usados por parte del personal encargado de las actividades de mantenimiento, particularmente cuando no se cuenta con procedimientos estandarizados o con el uso adecuado de elementos de protección personal. </w:t>
      </w:r>
    </w:p>
    <w:p w:rsidR="00554FEE" w:rsidRPr="003C1075" w:rsidRDefault="001000CA">
      <w:pPr>
        <w:spacing w:line="240" w:lineRule="auto"/>
        <w:jc w:val="both"/>
        <w:rPr>
          <w:rFonts w:ascii="Arial" w:hAnsi="Arial" w:cs="Arial"/>
          <w:sz w:val="24"/>
          <w:szCs w:val="24"/>
        </w:rPr>
      </w:pPr>
      <w:r w:rsidRPr="003C1075">
        <w:rPr>
          <w:rFonts w:ascii="Arial" w:hAnsi="Arial" w:cs="Arial"/>
          <w:sz w:val="24"/>
          <w:szCs w:val="24"/>
        </w:rPr>
        <w:t>En conclusión, se evidencia que el manejo de los residuos derivados del cambio de aceite durante la ejecución del Contrato No. 389-2025 se desarrolló de manera general acorde con los lineamientos ambientales establecidos, contribuyendo a la mitigación de impactos ambientales. No obstante, se identifica la necesidad de continuar reforzando las acciones de capacitación al personal operativo, la estandarización de procedimientos, el uso adecuado de elementos de protección personal y el seguimiento al proceso de transporte y disposición final a través de gestores ambientales autorizados, con el fin de garantizar la trazabilidad completa de los residuos generados y promover la mejora continua en las actividades de mantenimiento de infraestructura, equipos y bienes muebles de la entidad.</w:t>
      </w:r>
    </w:p>
    <w:p w:rsidR="00554FEE" w:rsidRPr="003C1075" w:rsidRDefault="001000CA">
      <w:pPr>
        <w:spacing w:line="240" w:lineRule="auto"/>
        <w:jc w:val="both"/>
        <w:rPr>
          <w:rFonts w:ascii="Arial" w:hAnsi="Arial" w:cs="Arial"/>
          <w:sz w:val="24"/>
          <w:szCs w:val="24"/>
        </w:rPr>
      </w:pPr>
      <w:r w:rsidRPr="003C1075">
        <w:rPr>
          <w:rFonts w:ascii="Arial" w:hAnsi="Arial" w:cs="Arial"/>
          <w:sz w:val="24"/>
          <w:szCs w:val="24"/>
        </w:rPr>
        <w:t>Este diagnóstico hace parte integral de la documentación soporte de la ejecución contractual y constituye un insumo técnico fundamental para la toma de decisiones y el fortalecimiento del sistema de gestión ambiental institucional.</w:t>
      </w:r>
    </w:p>
    <w:p w:rsidR="00554FEE" w:rsidRPr="003C1075" w:rsidRDefault="001000CA">
      <w:pPr>
        <w:jc w:val="both"/>
        <w:rPr>
          <w:rFonts w:ascii="Arial" w:hAnsi="Arial" w:cs="Arial"/>
          <w:b/>
          <w:bCs/>
          <w:sz w:val="24"/>
          <w:szCs w:val="24"/>
        </w:rPr>
      </w:pPr>
      <w:r w:rsidRPr="003C1075">
        <w:rPr>
          <w:rFonts w:ascii="Arial" w:hAnsi="Arial" w:cs="Arial"/>
          <w:b/>
          <w:bCs/>
          <w:sz w:val="24"/>
          <w:szCs w:val="24"/>
        </w:rPr>
        <w:t>Justificación del Plan:</w:t>
      </w:r>
    </w:p>
    <w:p w:rsidR="00554FEE" w:rsidRPr="003C1075" w:rsidRDefault="001000CA">
      <w:pPr>
        <w:jc w:val="both"/>
        <w:rPr>
          <w:rFonts w:ascii="Arial" w:hAnsi="Arial" w:cs="Arial"/>
          <w:sz w:val="24"/>
          <w:szCs w:val="24"/>
        </w:rPr>
      </w:pPr>
      <w:r w:rsidRPr="003C1075">
        <w:rPr>
          <w:rFonts w:ascii="Arial" w:hAnsi="Arial" w:cs="Arial"/>
          <w:sz w:val="24"/>
          <w:szCs w:val="24"/>
        </w:rPr>
        <w:t>La implementación de este PIGA es necesaria y se justifica bajo tres dimensiones fundamentales que buscan mitigar los problemas descritos anteriormente:</w:t>
      </w:r>
    </w:p>
    <w:p w:rsidR="00554FEE" w:rsidRPr="003C1075" w:rsidRDefault="001000CA">
      <w:pPr>
        <w:jc w:val="both"/>
        <w:rPr>
          <w:rFonts w:ascii="Arial" w:hAnsi="Arial" w:cs="Arial"/>
          <w:sz w:val="24"/>
          <w:szCs w:val="24"/>
        </w:rPr>
      </w:pPr>
      <w:r w:rsidRPr="003C1075">
        <w:rPr>
          <w:rFonts w:ascii="Arial" w:hAnsi="Arial" w:cs="Arial"/>
          <w:b/>
          <w:bCs/>
          <w:sz w:val="24"/>
          <w:szCs w:val="24"/>
        </w:rPr>
        <w:t>Justificación Normativa y de Cumplimiento:</w:t>
      </w:r>
      <w:r w:rsidRPr="003C1075">
        <w:rPr>
          <w:rFonts w:ascii="Arial" w:hAnsi="Arial" w:cs="Arial"/>
          <w:sz w:val="24"/>
          <w:szCs w:val="24"/>
        </w:rPr>
        <w:t xml:space="preserve"> El ICANH, como entidad del orden nacional, debe dar cumplimiento estricto al </w:t>
      </w:r>
      <w:r w:rsidRPr="003C1075">
        <w:rPr>
          <w:rFonts w:ascii="Arial" w:hAnsi="Arial" w:cs="Arial"/>
          <w:b/>
          <w:bCs/>
          <w:sz w:val="24"/>
          <w:szCs w:val="24"/>
        </w:rPr>
        <w:t>Decreto 1076 de 2015</w:t>
      </w:r>
      <w:r w:rsidRPr="003C1075">
        <w:rPr>
          <w:rFonts w:ascii="Arial" w:hAnsi="Arial" w:cs="Arial"/>
          <w:sz w:val="24"/>
          <w:szCs w:val="24"/>
        </w:rPr>
        <w:t xml:space="preserve"> y a los lineamientos del Modelo Integrado de Planeación y Gestión (</w:t>
      </w:r>
      <w:r w:rsidRPr="003C1075">
        <w:rPr>
          <w:rFonts w:ascii="Arial" w:hAnsi="Arial" w:cs="Arial"/>
          <w:b/>
          <w:bCs/>
          <w:sz w:val="24"/>
          <w:szCs w:val="24"/>
        </w:rPr>
        <w:t>MIPG</w:t>
      </w:r>
      <w:r w:rsidRPr="003C1075">
        <w:rPr>
          <w:rFonts w:ascii="Arial" w:hAnsi="Arial" w:cs="Arial"/>
          <w:sz w:val="24"/>
          <w:szCs w:val="24"/>
        </w:rPr>
        <w:t xml:space="preserve">). La ausencia de un plan estructurado expone a la entidad a sanciones por parte de las autoridades ambientales (Secretaría Distrital de Ambiente, </w:t>
      </w:r>
      <w:proofErr w:type="spellStart"/>
      <w:r w:rsidRPr="003C1075">
        <w:rPr>
          <w:rFonts w:ascii="Arial" w:hAnsi="Arial" w:cs="Arial"/>
          <w:sz w:val="24"/>
          <w:szCs w:val="24"/>
        </w:rPr>
        <w:t>CARs</w:t>
      </w:r>
      <w:proofErr w:type="spellEnd"/>
      <w:r w:rsidRPr="003C1075">
        <w:rPr>
          <w:rFonts w:ascii="Arial" w:hAnsi="Arial" w:cs="Arial"/>
          <w:sz w:val="24"/>
          <w:szCs w:val="24"/>
        </w:rPr>
        <w:t xml:space="preserve"> regionales) y hallazgos administrativos por parte de los entes de control, especialmente en lo referente a la gestión de residuos peligrosos en laboratorios.</w:t>
      </w:r>
    </w:p>
    <w:p w:rsidR="00554FEE" w:rsidRPr="003C1075" w:rsidRDefault="001000CA">
      <w:pPr>
        <w:jc w:val="both"/>
        <w:rPr>
          <w:rFonts w:ascii="Arial" w:hAnsi="Arial" w:cs="Arial"/>
          <w:sz w:val="24"/>
          <w:szCs w:val="24"/>
        </w:rPr>
      </w:pPr>
      <w:r w:rsidRPr="003C1075">
        <w:rPr>
          <w:rFonts w:ascii="Arial" w:hAnsi="Arial" w:cs="Arial"/>
          <w:b/>
          <w:bCs/>
          <w:sz w:val="24"/>
          <w:szCs w:val="24"/>
        </w:rPr>
        <w:t>Justificación Económica y de Austeridad:</w:t>
      </w:r>
      <w:r w:rsidRPr="003C1075">
        <w:rPr>
          <w:rFonts w:ascii="Arial" w:hAnsi="Arial" w:cs="Arial"/>
          <w:sz w:val="24"/>
          <w:szCs w:val="24"/>
        </w:rPr>
        <w:t xml:space="preserve"> Existe una necesidad imperativa de racionalizar el gasto público. El diagnóstico muestra que el consumo descontrolado de servicios públicos y la compra ineficiente de insumos (papelería, </w:t>
      </w:r>
      <w:proofErr w:type="spellStart"/>
      <w:r w:rsidRPr="003C1075">
        <w:rPr>
          <w:rFonts w:ascii="Arial" w:hAnsi="Arial" w:cs="Arial"/>
          <w:sz w:val="24"/>
          <w:szCs w:val="24"/>
        </w:rPr>
        <w:t>toners</w:t>
      </w:r>
      <w:proofErr w:type="spellEnd"/>
      <w:r w:rsidRPr="003C1075">
        <w:rPr>
          <w:rFonts w:ascii="Arial" w:hAnsi="Arial" w:cs="Arial"/>
          <w:sz w:val="24"/>
          <w:szCs w:val="24"/>
        </w:rPr>
        <w:t>, plásticos de un solo uso) impactan el presupuesto de funcionamiento. Este plan establece las metas de reducción que permitirán disminuir los costos operativos, alineándose con las políticas nacionales de austeridad y eficiencia del gasto.</w:t>
      </w:r>
    </w:p>
    <w:p w:rsidR="00554FEE" w:rsidRPr="003C1075" w:rsidRDefault="001000CA">
      <w:pPr>
        <w:jc w:val="both"/>
        <w:rPr>
          <w:rFonts w:ascii="Arial" w:hAnsi="Arial" w:cs="Arial"/>
          <w:sz w:val="24"/>
          <w:szCs w:val="24"/>
        </w:rPr>
      </w:pPr>
      <w:r w:rsidRPr="003C1075">
        <w:rPr>
          <w:rFonts w:ascii="Arial" w:hAnsi="Arial" w:cs="Arial"/>
          <w:b/>
          <w:bCs/>
          <w:sz w:val="24"/>
          <w:szCs w:val="24"/>
        </w:rPr>
        <w:lastRenderedPageBreak/>
        <w:t>Justificación Misional y Ética:</w:t>
      </w:r>
      <w:r w:rsidRPr="003C1075">
        <w:rPr>
          <w:rFonts w:ascii="Arial" w:hAnsi="Arial" w:cs="Arial"/>
          <w:sz w:val="24"/>
          <w:szCs w:val="24"/>
        </w:rPr>
        <w:t xml:space="preserve"> Finalmente, el plan se justifica en la coherencia institucional. El ICANH tiene la misión de proteger el patrimonio arqueológico, el cual es indivisible de su entorno natural. No es viable promover la conservación de sitios como Ciudad Perdida (Teyuna) o San Agustín sin garantizar que la operación administrativa y turística del Instituto sea respetuosa con los ecosistemas que albergan dicho patrimonio. Este plan es el instrumento para armonizar la misión antropológica con la responsabilidad ecológica y la adaptación ambiental.</w:t>
      </w: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50" w:name="_heading=h.lmjymkjfggoc" w:colFirst="0" w:colLast="0"/>
      <w:bookmarkEnd w:id="50"/>
      <w:r w:rsidRPr="003C1075">
        <w:rPr>
          <w:rFonts w:ascii="Arial" w:hAnsi="Arial" w:cs="Arial"/>
          <w:b/>
          <w:bCs/>
          <w:color w:val="000000"/>
          <w:sz w:val="24"/>
          <w:szCs w:val="24"/>
        </w:rPr>
        <w:t>Marco conceptual</w:t>
      </w:r>
    </w:p>
    <w:p w:rsidR="00554FEE" w:rsidRPr="003C1075" w:rsidRDefault="00554FEE">
      <w:pPr>
        <w:spacing w:after="0"/>
        <w:rPr>
          <w:rFonts w:ascii="Arial" w:hAnsi="Arial" w:cs="Arial"/>
          <w:sz w:val="24"/>
          <w:szCs w:val="24"/>
          <w:highlight w:val="yellow"/>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El Plan Institucional de Gestión Ambiental (PIGA) del ICANH se fundamenta en los siguientes pilares estratégicos que orientan su diseño, implementación y evaluación:</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1. Modelo Integrado de Planeación y Gestión (MIPG):</w:t>
      </w:r>
    </w:p>
    <w:p w:rsidR="00554FEE" w:rsidRPr="003C1075" w:rsidRDefault="001000CA">
      <w:pPr>
        <w:spacing w:after="0"/>
        <w:jc w:val="both"/>
        <w:rPr>
          <w:rFonts w:ascii="Arial" w:hAnsi="Arial" w:cs="Arial"/>
          <w:sz w:val="24"/>
          <w:szCs w:val="24"/>
        </w:rPr>
      </w:pPr>
      <w:r w:rsidRPr="003C1075">
        <w:rPr>
          <w:rFonts w:ascii="Arial" w:hAnsi="Arial" w:cs="Arial"/>
          <w:sz w:val="24"/>
          <w:szCs w:val="24"/>
        </w:rPr>
        <w:t xml:space="preserve">El PIGA no es un instrumento aislado, sino que opera como una política transversal dentro del MIPG. Se enmarca en la dimensión de </w:t>
      </w:r>
      <w:r w:rsidRPr="003C1075">
        <w:rPr>
          <w:rFonts w:ascii="Arial" w:hAnsi="Arial" w:cs="Arial"/>
          <w:b/>
          <w:bCs/>
          <w:sz w:val="24"/>
          <w:szCs w:val="24"/>
        </w:rPr>
        <w:t>"Gestión con Valores para Resultados"</w:t>
      </w:r>
      <w:r w:rsidRPr="003C1075">
        <w:rPr>
          <w:rFonts w:ascii="Arial" w:hAnsi="Arial" w:cs="Arial"/>
          <w:sz w:val="24"/>
          <w:szCs w:val="24"/>
        </w:rPr>
        <w:t xml:space="preserve">, entendiendo que la eficiencia administrativa debe ir de la mano con la sostenibilidad. Busca generar </w:t>
      </w:r>
      <w:r w:rsidRPr="003C1075">
        <w:rPr>
          <w:rFonts w:ascii="Arial" w:hAnsi="Arial" w:cs="Arial"/>
          <w:i/>
          <w:iCs/>
          <w:sz w:val="24"/>
          <w:szCs w:val="24"/>
        </w:rPr>
        <w:t>Valor Público</w:t>
      </w:r>
      <w:r w:rsidRPr="003C1075">
        <w:rPr>
          <w:rFonts w:ascii="Arial" w:hAnsi="Arial" w:cs="Arial"/>
          <w:sz w:val="24"/>
          <w:szCs w:val="24"/>
        </w:rPr>
        <w:t xml:space="preserve"> al garantizar que los recursos del Estado se utilicen de manera responsable, minimizando el impacto ambiental de la operación institucional.</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2. Ciclo PHVA (Mejora Continua):</w:t>
      </w:r>
    </w:p>
    <w:p w:rsidR="00554FEE" w:rsidRPr="003C1075" w:rsidRDefault="001000CA">
      <w:pPr>
        <w:spacing w:after="0"/>
        <w:jc w:val="both"/>
        <w:rPr>
          <w:rFonts w:ascii="Arial" w:hAnsi="Arial" w:cs="Arial"/>
          <w:sz w:val="24"/>
          <w:szCs w:val="24"/>
        </w:rPr>
      </w:pPr>
      <w:r w:rsidRPr="003C1075">
        <w:rPr>
          <w:rFonts w:ascii="Arial" w:hAnsi="Arial" w:cs="Arial"/>
          <w:sz w:val="24"/>
          <w:szCs w:val="24"/>
        </w:rPr>
        <w:t>La lógica operativa del plan sigue el ciclo de Deming (Planear, Hacer, Verificar, Actuar). Este enfoque iterativo permite que el ICANH no solo ejecute actividades ambientales, sino que evalúe periódicamente su eficacia mediante indicadores, ajustando las estrategias año tras año para lograr un desempeño ambiental progresivo y no estático.</w:t>
      </w:r>
    </w:p>
    <w:p w:rsidR="00554FEE" w:rsidRPr="003C1075" w:rsidRDefault="00554FEE">
      <w:pPr>
        <w:spacing w:after="0"/>
        <w:jc w:val="both"/>
        <w:rPr>
          <w:rFonts w:ascii="Arial" w:hAnsi="Arial" w:cs="Arial"/>
          <w:sz w:val="24"/>
          <w:szCs w:val="24"/>
        </w:rPr>
      </w:pPr>
    </w:p>
    <w:p w:rsidR="00554FEE" w:rsidRPr="003C1075" w:rsidRDefault="00554FEE">
      <w:pPr>
        <w:spacing w:after="0"/>
        <w:jc w:val="both"/>
        <w:rPr>
          <w:rFonts w:ascii="Arial" w:hAnsi="Arial" w:cs="Arial"/>
          <w:sz w:val="24"/>
          <w:szCs w:val="24"/>
        </w:rPr>
      </w:pPr>
    </w:p>
    <w:p w:rsidR="001239E9" w:rsidRPr="003C1075" w:rsidRDefault="001239E9">
      <w:pPr>
        <w:spacing w:after="0"/>
        <w:jc w:val="both"/>
        <w:rPr>
          <w:rFonts w:ascii="Arial" w:hAnsi="Arial" w:cs="Arial"/>
          <w:sz w:val="24"/>
          <w:szCs w:val="24"/>
        </w:rPr>
      </w:pP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3. Gestión del Riesgo y Principio de Precaución:</w:t>
      </w:r>
    </w:p>
    <w:p w:rsidR="00554FEE" w:rsidRPr="003C1075" w:rsidRDefault="001000CA">
      <w:pPr>
        <w:spacing w:after="0"/>
        <w:jc w:val="both"/>
        <w:rPr>
          <w:rFonts w:ascii="Arial" w:hAnsi="Arial" w:cs="Arial"/>
          <w:sz w:val="24"/>
          <w:szCs w:val="24"/>
        </w:rPr>
      </w:pPr>
      <w:r w:rsidRPr="003C1075">
        <w:rPr>
          <w:rFonts w:ascii="Arial" w:hAnsi="Arial" w:cs="Arial"/>
          <w:sz w:val="24"/>
          <w:szCs w:val="24"/>
        </w:rPr>
        <w:t>Se incorpora el enfoque preventivo, identificando anticipadamente los riesgos que podrían afectar el medio ambiente (ej. derrames químicos en laboratorios, incendios forestales en parques arqueológicos). El plan prioriza la prevención sobre la corrección, estableciendo controles para evitar daños irreversibles tanto en los ecosistemas como en la salud de los colaboradores.</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4. Corresponsabilidad y Talento Humano:</w:t>
      </w:r>
    </w:p>
    <w:p w:rsidR="00554FEE" w:rsidRPr="003C1075" w:rsidRDefault="001000CA">
      <w:pPr>
        <w:spacing w:after="0"/>
        <w:jc w:val="both"/>
        <w:rPr>
          <w:rFonts w:ascii="Arial" w:hAnsi="Arial" w:cs="Arial"/>
          <w:sz w:val="24"/>
          <w:szCs w:val="24"/>
        </w:rPr>
      </w:pPr>
      <w:r w:rsidRPr="003C1075">
        <w:rPr>
          <w:rFonts w:ascii="Arial" w:hAnsi="Arial" w:cs="Arial"/>
          <w:sz w:val="24"/>
          <w:szCs w:val="24"/>
        </w:rPr>
        <w:t xml:space="preserve">El éxito del plan recae en el cambio cultural de los servidores públicos y contratistas. Se asume que la gestión ambiental no es responsabilidad exclusiva de un área, sino un deber compartido por todo el </w:t>
      </w:r>
      <w:r w:rsidRPr="003C1075">
        <w:rPr>
          <w:rFonts w:ascii="Arial" w:hAnsi="Arial" w:cs="Arial"/>
          <w:b/>
          <w:bCs/>
          <w:sz w:val="24"/>
          <w:szCs w:val="24"/>
        </w:rPr>
        <w:t>Talento Humano</w:t>
      </w:r>
      <w:r w:rsidRPr="003C1075">
        <w:rPr>
          <w:rFonts w:ascii="Arial" w:hAnsi="Arial" w:cs="Arial"/>
          <w:sz w:val="24"/>
          <w:szCs w:val="24"/>
        </w:rPr>
        <w:t>. Este concepto vincula el comportamiento individual (apagar luces, separar residuos) con el cumplimiento de las metas institucionales.</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5. Binomio Patrimonio-Naturaleza (Enfoque Misional):</w:t>
      </w:r>
    </w:p>
    <w:p w:rsidR="00554FEE" w:rsidRPr="003C1075" w:rsidRDefault="001000CA">
      <w:pPr>
        <w:spacing w:after="0"/>
        <w:jc w:val="both"/>
        <w:rPr>
          <w:rFonts w:ascii="Arial" w:hAnsi="Arial" w:cs="Arial"/>
          <w:sz w:val="24"/>
          <w:szCs w:val="24"/>
        </w:rPr>
      </w:pPr>
      <w:r w:rsidRPr="003C1075">
        <w:rPr>
          <w:rFonts w:ascii="Arial" w:hAnsi="Arial" w:cs="Arial"/>
          <w:sz w:val="24"/>
          <w:szCs w:val="24"/>
        </w:rPr>
        <w:t xml:space="preserve">Específico para el ICANH, este concepto reconoce la interdependencia entre el patrimonio cultural y el entorno natural. El plan se sustenta en la idea de que la protección de los sitios arqueológicos y la investigación antropológica deben realizarse bajo prácticas de </w:t>
      </w:r>
      <w:r w:rsidRPr="003C1075">
        <w:rPr>
          <w:rFonts w:ascii="Arial" w:hAnsi="Arial" w:cs="Arial"/>
          <w:b/>
          <w:bCs/>
          <w:sz w:val="24"/>
          <w:szCs w:val="24"/>
        </w:rPr>
        <w:t>bioseguridad</w:t>
      </w:r>
      <w:r w:rsidRPr="003C1075">
        <w:rPr>
          <w:rFonts w:ascii="Arial" w:hAnsi="Arial" w:cs="Arial"/>
          <w:sz w:val="24"/>
          <w:szCs w:val="24"/>
        </w:rPr>
        <w:t xml:space="preserve"> y respeto por el territorio, integrando la conservación ambiental como parte esencial de la custodia del patrimonio.</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 xml:space="preserve">6. </w:t>
      </w:r>
      <w:proofErr w:type="spellStart"/>
      <w:r w:rsidRPr="003C1075">
        <w:rPr>
          <w:rFonts w:ascii="Arial" w:hAnsi="Arial" w:cs="Arial"/>
          <w:b/>
          <w:bCs/>
          <w:sz w:val="24"/>
          <w:szCs w:val="24"/>
        </w:rPr>
        <w:t>Ecoeficiencia</w:t>
      </w:r>
      <w:proofErr w:type="spellEnd"/>
      <w:r w:rsidRPr="003C1075">
        <w:rPr>
          <w:rFonts w:ascii="Arial" w:hAnsi="Arial" w:cs="Arial"/>
          <w:b/>
          <w:bCs/>
          <w:sz w:val="24"/>
          <w:szCs w:val="24"/>
        </w:rPr>
        <w:t xml:space="preserve"> y Austeridad:</w:t>
      </w:r>
    </w:p>
    <w:p w:rsidR="00554FEE" w:rsidRPr="003C1075" w:rsidRDefault="001000CA">
      <w:pPr>
        <w:spacing w:after="0"/>
        <w:jc w:val="both"/>
        <w:rPr>
          <w:rFonts w:ascii="Arial" w:hAnsi="Arial" w:cs="Arial"/>
          <w:sz w:val="24"/>
          <w:szCs w:val="24"/>
        </w:rPr>
      </w:pPr>
      <w:r w:rsidRPr="003C1075">
        <w:rPr>
          <w:rFonts w:ascii="Arial" w:hAnsi="Arial" w:cs="Arial"/>
          <w:sz w:val="24"/>
          <w:szCs w:val="24"/>
        </w:rPr>
        <w:t>Se adopta la premisa de "producir más con menos". Este concepto orienta el plan hacia la optimización de recursos financieros y naturales, buscando reducir la huella ecológica y los costos operativos mediante la racionalización del consumo de agua, energía e insumos, en coherencia con las políticas nacionales de austeridad en el gasto público.</w:t>
      </w:r>
    </w:p>
    <w:p w:rsidR="00554FEE" w:rsidRPr="003C1075" w:rsidRDefault="00554FEE">
      <w:pPr>
        <w:spacing w:after="0"/>
        <w:jc w:val="both"/>
        <w:rPr>
          <w:rFonts w:ascii="Arial" w:hAnsi="Arial" w:cs="Arial"/>
          <w:sz w:val="24"/>
          <w:szCs w:val="24"/>
        </w:rPr>
      </w:pPr>
    </w:p>
    <w:p w:rsidR="00554FEE" w:rsidRPr="003C1075" w:rsidRDefault="00554FEE">
      <w:pPr>
        <w:spacing w:after="0"/>
        <w:rPr>
          <w:rFonts w:ascii="Arial" w:hAnsi="Arial" w:cs="Arial"/>
          <w:sz w:val="24"/>
          <w:szCs w:val="24"/>
          <w:highlight w:val="yellow"/>
        </w:rPr>
      </w:pP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51" w:name="_heading=h.9m7ml9xww5fy" w:colFirst="0" w:colLast="0"/>
      <w:bookmarkEnd w:id="51"/>
      <w:r w:rsidRPr="003C1075">
        <w:rPr>
          <w:rFonts w:ascii="Arial" w:hAnsi="Arial" w:cs="Arial"/>
          <w:b/>
          <w:bCs/>
          <w:color w:val="000000"/>
          <w:sz w:val="24"/>
          <w:szCs w:val="24"/>
        </w:rPr>
        <w:t>Resultados de la vigencia anterior</w:t>
      </w:r>
      <w:r w:rsidRPr="003C1075">
        <w:rPr>
          <w:rFonts w:ascii="Arial" w:hAnsi="Arial" w:cs="Arial"/>
          <w:b/>
          <w:bCs/>
          <w:sz w:val="24"/>
          <w:szCs w:val="24"/>
        </w:rPr>
        <w:t>:</w:t>
      </w:r>
    </w:p>
    <w:p w:rsidR="00554FEE" w:rsidRPr="003C1075" w:rsidRDefault="00554FEE">
      <w:pPr>
        <w:pBdr>
          <w:top w:val="nil"/>
          <w:left w:val="nil"/>
          <w:bottom w:val="nil"/>
          <w:right w:val="nil"/>
          <w:between w:val="nil"/>
        </w:pBdr>
        <w:spacing w:after="0"/>
        <w:ind w:left="720"/>
        <w:rPr>
          <w:rFonts w:ascii="Arial" w:hAnsi="Arial" w:cs="Arial"/>
          <w:b/>
          <w:bCs/>
          <w:color w:val="000000"/>
          <w:sz w:val="24"/>
          <w:szCs w:val="24"/>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Durante el primer semestre se alcanzó un avance del 36 % en la ejecución del Plan de Actividades, resultado del fortalecimiento de la planeación y la toma de decisiones estratégicas. En este periodo, el Comité Directivo aprobó formalmente el Plan de Actividades, así como su objeto y alcance, lo cual permitió consolidar de manera estructurada el proceso de identificación y análisis del consumo de agua y energía en cada una de las sedes del ICANH.</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Adicionalmente, se realizó la socialización de los resultados obtenidos mediante una capacitación virtual, orientada a fortalecer las capacidades del personal y promover su participación en la gestión ambiental institucional, contribuyendo a la apropiación de buenas prácticas y al cumplimiento de los lineamientos establecidos.</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 xml:space="preserve">Los avances logrados fueron del </w:t>
      </w:r>
      <w:r w:rsidRPr="003C1075">
        <w:rPr>
          <w:rFonts w:ascii="Arial" w:hAnsi="Arial" w:cs="Arial"/>
          <w:b/>
          <w:bCs/>
          <w:sz w:val="24"/>
          <w:szCs w:val="24"/>
        </w:rPr>
        <w:t xml:space="preserve">64% </w:t>
      </w:r>
      <w:r w:rsidRPr="003C1075">
        <w:rPr>
          <w:rFonts w:ascii="Arial" w:hAnsi="Arial" w:cs="Arial"/>
          <w:sz w:val="24"/>
          <w:szCs w:val="24"/>
        </w:rPr>
        <w:t>constituyen un insumo estratégico para la planeación y el desarrollo del componente ambiental, en tanto el diagnóstico elaborado servirá como base para la formulación de acciones orientadas a la eficiencia en el uso de los recursos, la mejora continua y la consolidación del ICANH como una entidad comprometida con la sosteni</w:t>
      </w:r>
      <w:r w:rsidR="001239E9" w:rsidRPr="003C1075">
        <w:rPr>
          <w:rFonts w:ascii="Arial" w:hAnsi="Arial" w:cs="Arial"/>
          <w:sz w:val="24"/>
          <w:szCs w:val="24"/>
        </w:rPr>
        <w:t>bilidad y la cultura ambiental que,</w:t>
      </w:r>
      <w:r w:rsidRPr="003C1075">
        <w:rPr>
          <w:rFonts w:ascii="Arial" w:hAnsi="Arial" w:cs="Arial"/>
          <w:sz w:val="24"/>
          <w:szCs w:val="24"/>
        </w:rPr>
        <w:t xml:space="preserve"> aunque no está consolidada viene mejorando en la adaptación y consolidación de acciones ambientales.</w:t>
      </w:r>
    </w:p>
    <w:p w:rsidR="00554FEE" w:rsidRPr="003C1075" w:rsidRDefault="00554FEE">
      <w:pPr>
        <w:pBdr>
          <w:top w:val="nil"/>
          <w:left w:val="nil"/>
          <w:bottom w:val="nil"/>
          <w:right w:val="nil"/>
          <w:between w:val="nil"/>
        </w:pBdr>
        <w:spacing w:after="0"/>
        <w:ind w:left="720"/>
        <w:rPr>
          <w:rFonts w:ascii="Arial" w:hAnsi="Arial" w:cs="Arial"/>
          <w:b/>
          <w:bCs/>
          <w:color w:val="000000"/>
          <w:sz w:val="24"/>
          <w:szCs w:val="24"/>
        </w:rPr>
      </w:pPr>
    </w:p>
    <w:p w:rsidR="00554FEE" w:rsidRPr="003C1075" w:rsidRDefault="001000CA">
      <w:pPr>
        <w:numPr>
          <w:ilvl w:val="0"/>
          <w:numId w:val="1"/>
        </w:numPr>
        <w:spacing w:after="0"/>
        <w:jc w:val="both"/>
        <w:rPr>
          <w:rFonts w:ascii="Arial" w:hAnsi="Arial" w:cs="Arial"/>
          <w:b/>
          <w:bCs/>
          <w:sz w:val="24"/>
          <w:szCs w:val="24"/>
        </w:rPr>
      </w:pPr>
      <w:r w:rsidRPr="003C1075">
        <w:rPr>
          <w:rFonts w:ascii="Arial" w:hAnsi="Arial" w:cs="Arial"/>
          <w:b/>
          <w:bCs/>
          <w:sz w:val="24"/>
          <w:szCs w:val="24"/>
        </w:rPr>
        <w:t>Resultados del indicador asociado al plan institucional de la vigencia anterior:</w:t>
      </w:r>
    </w:p>
    <w:p w:rsidR="00554FEE" w:rsidRPr="003C1075" w:rsidRDefault="00554FEE">
      <w:pPr>
        <w:spacing w:after="0"/>
        <w:jc w:val="both"/>
        <w:rPr>
          <w:rFonts w:ascii="Arial" w:hAnsi="Arial" w:cs="Arial"/>
          <w:b/>
          <w:bCs/>
          <w:sz w:val="24"/>
          <w:szCs w:val="24"/>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A pesar del 64% de cumplimiento en el indicador de cumplimiento del PIGA al cierre de la vigencia 2025. entre los logros más destacados que impactaron positivamente el resultado del indicador se encuentra la aprobación del Plan de Actividades por parte del Comité Directivo, junto con la definición de su objeto y alcance, lo que permitió formalizar el marco de acción del plan y avanzar de manera estructurada en la identificación y análisis del consumo de agua y energía en las diferentes sedes del ICANH. Adicionalmente, la socialización de los resultados mediante una capacitación virtual fortaleció el conocimiento, la sensibilización y la participación de los colaboradores en la gestión institucional, contribuyendo al cumplimiento de los objetivos planteados.</w:t>
      </w:r>
    </w:p>
    <w:p w:rsidR="00554FEE" w:rsidRPr="003C1075" w:rsidRDefault="001000CA">
      <w:pPr>
        <w:spacing w:after="0"/>
        <w:jc w:val="both"/>
        <w:rPr>
          <w:rFonts w:ascii="Arial" w:hAnsi="Arial" w:cs="Arial"/>
          <w:sz w:val="24"/>
          <w:szCs w:val="24"/>
        </w:rPr>
      </w:pPr>
      <w:r w:rsidRPr="003C1075">
        <w:rPr>
          <w:rFonts w:ascii="Arial" w:hAnsi="Arial" w:cs="Arial"/>
          <w:sz w:val="24"/>
          <w:szCs w:val="24"/>
        </w:rPr>
        <w:t>En cuanto a las actividades no ejecutadas, estas corresponden principalmente a acciones de implementación y seguimiento que estaban previstas para fases posteriores del plan. Su no ejecución durante el periodo evaluado obedece a que, previamente, era necesario contar con el diagnóstico consolidado y con la aprobación formal del plan, insumos que fueron obtenidos durante el tercer trimestre.</w:t>
      </w:r>
    </w:p>
    <w:p w:rsidR="00554FEE" w:rsidRPr="003C1075" w:rsidRDefault="001000CA">
      <w:pPr>
        <w:spacing w:after="0"/>
        <w:jc w:val="both"/>
        <w:rPr>
          <w:rFonts w:ascii="Arial" w:hAnsi="Arial" w:cs="Arial"/>
          <w:sz w:val="24"/>
          <w:szCs w:val="24"/>
        </w:rPr>
      </w:pPr>
      <w:r w:rsidRPr="003C1075">
        <w:rPr>
          <w:rFonts w:ascii="Arial" w:hAnsi="Arial" w:cs="Arial"/>
          <w:sz w:val="24"/>
          <w:szCs w:val="24"/>
        </w:rPr>
        <w:t>Dentro de las situaciones que generaron retrasos en el desarrollo de algunas actividades se identificaron los tiempos requeridos para la revisión y aprobación por parte de las instancias directivas, así como la recolección y validación de información sobre consumos en las distintas sedes. Estas situaciones fueron afrontadas mediante la reorganización del cronograma, la priorización de actividades estratégicas y el fortalecimiento de la articulación entre las áreas responsables.</w:t>
      </w:r>
    </w:p>
    <w:p w:rsidR="00554FEE" w:rsidRPr="003C1075" w:rsidRDefault="001000CA">
      <w:pPr>
        <w:spacing w:after="0"/>
        <w:jc w:val="both"/>
        <w:rPr>
          <w:rFonts w:ascii="Arial" w:hAnsi="Arial" w:cs="Arial"/>
          <w:sz w:val="24"/>
          <w:szCs w:val="24"/>
        </w:rPr>
      </w:pPr>
      <w:r w:rsidRPr="003C1075">
        <w:rPr>
          <w:rFonts w:ascii="Arial" w:hAnsi="Arial" w:cs="Arial"/>
          <w:sz w:val="24"/>
          <w:szCs w:val="24"/>
        </w:rPr>
        <w:t xml:space="preserve">Finalmente, entre los factores que permitieron el avance y cumplimiento parcial del plan se destacan el compromiso institucional, el apoyo del Comité Directivo, la disponibilidad </w:t>
      </w:r>
      <w:r w:rsidRPr="003C1075">
        <w:rPr>
          <w:rFonts w:ascii="Arial" w:hAnsi="Arial" w:cs="Arial"/>
          <w:sz w:val="24"/>
          <w:szCs w:val="24"/>
        </w:rPr>
        <w:lastRenderedPageBreak/>
        <w:t>de información técnica y la participación de los colaboradores, los cuales sentaron las bases para la implementación de acciones de mejora continua y el seguimiento a los indicadores en el cuarto trimestre, con el propósito de garantizar el cumplimiento integral del plan en la vigencia.</w:t>
      </w:r>
    </w:p>
    <w:p w:rsidR="00554FEE" w:rsidRPr="003C1075" w:rsidRDefault="001000CA">
      <w:pPr>
        <w:spacing w:after="0"/>
        <w:jc w:val="center"/>
        <w:rPr>
          <w:rFonts w:ascii="Arial" w:hAnsi="Arial" w:cs="Arial"/>
          <w:sz w:val="24"/>
          <w:szCs w:val="24"/>
        </w:rPr>
      </w:pPr>
      <w:r w:rsidRPr="003C1075">
        <w:rPr>
          <w:rFonts w:ascii="Arial" w:hAnsi="Arial" w:cs="Arial"/>
          <w:noProof/>
          <w:sz w:val="24"/>
          <w:szCs w:val="24"/>
          <w:lang w:val="es-CO"/>
        </w:rPr>
        <w:drawing>
          <wp:inline distT="114300" distB="114300" distL="114300" distR="114300">
            <wp:extent cx="6097036" cy="3473893"/>
            <wp:effectExtent l="0" t="0" r="0" b="0"/>
            <wp:docPr id="7071521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l="912" r="1043"/>
                    <a:stretch>
                      <a:fillRect/>
                    </a:stretch>
                  </pic:blipFill>
                  <pic:spPr>
                    <a:xfrm>
                      <a:off x="0" y="0"/>
                      <a:ext cx="6097036" cy="3473893"/>
                    </a:xfrm>
                    <a:prstGeom prst="rect">
                      <a:avLst/>
                    </a:prstGeom>
                    <a:ln/>
                  </pic:spPr>
                </pic:pic>
              </a:graphicData>
            </a:graphic>
          </wp:inline>
        </w:drawing>
      </w:r>
    </w:p>
    <w:p w:rsidR="00554FEE" w:rsidRPr="003C1075" w:rsidRDefault="001000CA">
      <w:pPr>
        <w:tabs>
          <w:tab w:val="left" w:pos="1716"/>
        </w:tabs>
        <w:spacing w:after="0"/>
        <w:jc w:val="both"/>
        <w:rPr>
          <w:rFonts w:ascii="Arial" w:hAnsi="Arial" w:cs="Arial"/>
          <w:b/>
          <w:bCs/>
          <w:sz w:val="24"/>
          <w:szCs w:val="24"/>
        </w:rPr>
      </w:pPr>
      <w:r w:rsidRPr="003C1075">
        <w:rPr>
          <w:rFonts w:ascii="Arial" w:hAnsi="Arial" w:cs="Arial"/>
          <w:b/>
          <w:bCs/>
          <w:sz w:val="24"/>
          <w:szCs w:val="24"/>
        </w:rPr>
        <w:tab/>
      </w:r>
    </w:p>
    <w:p w:rsidR="00554FEE" w:rsidRPr="00E65985" w:rsidRDefault="00E65985">
      <w:pPr>
        <w:tabs>
          <w:tab w:val="left" w:pos="1716"/>
        </w:tabs>
        <w:spacing w:after="0"/>
        <w:jc w:val="both"/>
        <w:rPr>
          <w:rFonts w:ascii="Arial" w:hAnsi="Arial" w:cs="Arial"/>
          <w:bCs/>
          <w:sz w:val="14"/>
          <w:szCs w:val="24"/>
        </w:rPr>
      </w:pPr>
      <w:r>
        <w:rPr>
          <w:rFonts w:ascii="Arial" w:hAnsi="Arial" w:cs="Arial"/>
          <w:bCs/>
          <w:sz w:val="14"/>
          <w:szCs w:val="24"/>
        </w:rPr>
        <w:t xml:space="preserve">Fuente: </w:t>
      </w:r>
      <w:r w:rsidRPr="00E65985">
        <w:rPr>
          <w:rFonts w:ascii="Arial" w:hAnsi="Arial" w:cs="Arial"/>
          <w:bCs/>
          <w:sz w:val="14"/>
          <w:szCs w:val="24"/>
        </w:rPr>
        <w:t>Elaboración propia</w:t>
      </w:r>
    </w:p>
    <w:p w:rsidR="00554FEE" w:rsidRPr="003C1075" w:rsidRDefault="00554FEE">
      <w:pPr>
        <w:tabs>
          <w:tab w:val="left" w:pos="1716"/>
        </w:tabs>
        <w:spacing w:after="0"/>
        <w:jc w:val="both"/>
        <w:rPr>
          <w:rFonts w:ascii="Arial" w:hAnsi="Arial" w:cs="Arial"/>
          <w:b/>
          <w:bCs/>
          <w:sz w:val="24"/>
          <w:szCs w:val="24"/>
        </w:rPr>
      </w:pPr>
    </w:p>
    <w:p w:rsidR="00554FEE" w:rsidRPr="003C1075" w:rsidRDefault="001000CA">
      <w:pPr>
        <w:numPr>
          <w:ilvl w:val="0"/>
          <w:numId w:val="9"/>
        </w:numPr>
        <w:pBdr>
          <w:top w:val="nil"/>
          <w:left w:val="nil"/>
          <w:bottom w:val="nil"/>
          <w:right w:val="nil"/>
          <w:between w:val="nil"/>
        </w:pBdr>
        <w:spacing w:after="0"/>
        <w:rPr>
          <w:rFonts w:ascii="Arial" w:hAnsi="Arial" w:cs="Arial"/>
          <w:b/>
          <w:bCs/>
          <w:color w:val="000000"/>
          <w:sz w:val="24"/>
          <w:szCs w:val="24"/>
        </w:rPr>
      </w:pPr>
      <w:bookmarkStart w:id="52" w:name="_heading=h.3csyh7grenss" w:colFirst="0" w:colLast="0"/>
      <w:bookmarkEnd w:id="52"/>
      <w:r w:rsidRPr="003C1075">
        <w:rPr>
          <w:rFonts w:ascii="Arial" w:hAnsi="Arial" w:cs="Arial"/>
          <w:b/>
          <w:bCs/>
          <w:color w:val="000000"/>
          <w:sz w:val="24"/>
          <w:szCs w:val="24"/>
        </w:rPr>
        <w:t xml:space="preserve">Gestión Plan vigencia actual </w:t>
      </w:r>
    </w:p>
    <w:p w:rsidR="00554FEE" w:rsidRPr="003C1075" w:rsidRDefault="001000CA">
      <w:pPr>
        <w:numPr>
          <w:ilvl w:val="1"/>
          <w:numId w:val="9"/>
        </w:numPr>
        <w:spacing w:after="0"/>
        <w:rPr>
          <w:rFonts w:ascii="Arial" w:hAnsi="Arial" w:cs="Arial"/>
          <w:b/>
          <w:bCs/>
          <w:sz w:val="24"/>
          <w:szCs w:val="24"/>
        </w:rPr>
      </w:pPr>
      <w:r w:rsidRPr="003C1075">
        <w:rPr>
          <w:rFonts w:ascii="Arial" w:hAnsi="Arial" w:cs="Arial"/>
          <w:b/>
          <w:bCs/>
          <w:sz w:val="24"/>
          <w:szCs w:val="24"/>
        </w:rPr>
        <w:t>Metodología:</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 xml:space="preserve">La metodología adoptada por el ICANH para el desarrollo, ejecución y seguimiento del PIGA se fundamenta en el ciclo de mejora continua </w:t>
      </w:r>
      <w:r w:rsidRPr="003C1075">
        <w:rPr>
          <w:rFonts w:ascii="Arial" w:hAnsi="Arial" w:cs="Arial"/>
          <w:b/>
          <w:bCs/>
          <w:sz w:val="24"/>
          <w:szCs w:val="24"/>
        </w:rPr>
        <w:t>PHVA (Planear, Hacer, Verificar y Actuar)</w:t>
      </w:r>
      <w:r w:rsidRPr="003C1075">
        <w:rPr>
          <w:rFonts w:ascii="Arial" w:hAnsi="Arial" w:cs="Arial"/>
          <w:sz w:val="24"/>
          <w:szCs w:val="24"/>
        </w:rPr>
        <w:t>. Este enfoque sistémico garantiza que las acciones ambientales estén alineadas con la planeación estratégica de la entidad y permite la corrección oportuna de desviaciones.</w:t>
      </w:r>
    </w:p>
    <w:p w:rsidR="00554FEE" w:rsidRPr="003C1075" w:rsidRDefault="001000CA">
      <w:pPr>
        <w:spacing w:after="0"/>
        <w:jc w:val="both"/>
        <w:rPr>
          <w:rFonts w:ascii="Arial" w:hAnsi="Arial" w:cs="Arial"/>
          <w:sz w:val="24"/>
          <w:szCs w:val="24"/>
        </w:rPr>
      </w:pPr>
      <w:r w:rsidRPr="003C1075">
        <w:rPr>
          <w:rFonts w:ascii="Arial" w:hAnsi="Arial" w:cs="Arial"/>
          <w:sz w:val="24"/>
          <w:szCs w:val="24"/>
        </w:rPr>
        <w:t>El despliegue del plan se realiza a través de las siguientes fases:</w:t>
      </w:r>
    </w:p>
    <w:p w:rsidR="00554FEE" w:rsidRPr="003C1075" w:rsidRDefault="00554FEE">
      <w:pPr>
        <w:spacing w:after="0"/>
        <w:jc w:val="both"/>
        <w:rPr>
          <w:rFonts w:ascii="Arial" w:hAnsi="Arial" w:cs="Arial"/>
          <w:b/>
          <w:bCs/>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lastRenderedPageBreak/>
        <w:t>1. Fase de Planeación (Diagnóstico y Priorización):</w:t>
      </w:r>
    </w:p>
    <w:p w:rsidR="00554FEE" w:rsidRPr="003C1075" w:rsidRDefault="001000CA">
      <w:pPr>
        <w:spacing w:after="0"/>
        <w:jc w:val="both"/>
        <w:rPr>
          <w:rFonts w:ascii="Arial" w:hAnsi="Arial" w:cs="Arial"/>
          <w:sz w:val="24"/>
          <w:szCs w:val="24"/>
        </w:rPr>
      </w:pPr>
      <w:r w:rsidRPr="003C1075">
        <w:rPr>
          <w:rFonts w:ascii="Arial" w:hAnsi="Arial" w:cs="Arial"/>
          <w:sz w:val="24"/>
          <w:szCs w:val="24"/>
        </w:rPr>
        <w:t>En esta etapa se definen las metas anuales basándose en el análisis de datos históricos y el contexto actual.</w:t>
      </w:r>
    </w:p>
    <w:p w:rsidR="00554FEE" w:rsidRPr="003C1075" w:rsidRDefault="001000CA">
      <w:pPr>
        <w:numPr>
          <w:ilvl w:val="0"/>
          <w:numId w:val="5"/>
        </w:numPr>
        <w:spacing w:after="0"/>
        <w:jc w:val="both"/>
        <w:rPr>
          <w:rFonts w:ascii="Arial" w:hAnsi="Arial" w:cs="Arial"/>
          <w:sz w:val="24"/>
          <w:szCs w:val="24"/>
        </w:rPr>
      </w:pPr>
      <w:r w:rsidRPr="003C1075">
        <w:rPr>
          <w:rFonts w:ascii="Arial" w:hAnsi="Arial" w:cs="Arial"/>
          <w:b/>
          <w:bCs/>
          <w:sz w:val="24"/>
          <w:szCs w:val="24"/>
        </w:rPr>
        <w:t>Fuentes de Información:</w:t>
      </w:r>
      <w:r w:rsidRPr="003C1075">
        <w:rPr>
          <w:rFonts w:ascii="Arial" w:hAnsi="Arial" w:cs="Arial"/>
          <w:sz w:val="24"/>
          <w:szCs w:val="24"/>
        </w:rPr>
        <w:t xml:space="preserve"> Se utilizan los históricos de facturación de servicios públicos (agua y energía), informes de gestores externos de residuos, manifiestos de recolección de residuos peligrosos (RESPEL) y los resultados de la Matriz de Aspectos e Impactos Ambientales.</w:t>
      </w:r>
    </w:p>
    <w:p w:rsidR="00554FEE" w:rsidRPr="003C1075" w:rsidRDefault="001000CA">
      <w:pPr>
        <w:numPr>
          <w:ilvl w:val="0"/>
          <w:numId w:val="5"/>
        </w:numPr>
        <w:spacing w:after="0"/>
        <w:jc w:val="both"/>
        <w:rPr>
          <w:rFonts w:ascii="Arial" w:hAnsi="Arial" w:cs="Arial"/>
          <w:sz w:val="24"/>
          <w:szCs w:val="24"/>
        </w:rPr>
      </w:pPr>
      <w:r w:rsidRPr="003C1075">
        <w:rPr>
          <w:rFonts w:ascii="Arial" w:hAnsi="Arial" w:cs="Arial"/>
          <w:b/>
          <w:bCs/>
          <w:sz w:val="24"/>
          <w:szCs w:val="24"/>
        </w:rPr>
        <w:t>Criterios de Priorización:</w:t>
      </w:r>
      <w:r w:rsidRPr="003C1075">
        <w:rPr>
          <w:rFonts w:ascii="Arial" w:hAnsi="Arial" w:cs="Arial"/>
          <w:sz w:val="24"/>
          <w:szCs w:val="24"/>
        </w:rPr>
        <w:t xml:space="preserve"> Las actividades se priorizan bajo dos criterios: </w:t>
      </w:r>
      <w:r w:rsidRPr="003C1075">
        <w:rPr>
          <w:rFonts w:ascii="Arial" w:hAnsi="Arial" w:cs="Arial"/>
          <w:b/>
          <w:bCs/>
          <w:sz w:val="24"/>
          <w:szCs w:val="24"/>
        </w:rPr>
        <w:t>(1) Cumplimiento Legal</w:t>
      </w:r>
      <w:r w:rsidRPr="003C1075">
        <w:rPr>
          <w:rFonts w:ascii="Arial" w:hAnsi="Arial" w:cs="Arial"/>
          <w:sz w:val="24"/>
          <w:szCs w:val="24"/>
        </w:rPr>
        <w:t xml:space="preserve">, dando prelación a normas de obligatorio cumplimiento (como gestión de químicos en laboratorios); y </w:t>
      </w:r>
      <w:r w:rsidRPr="003C1075">
        <w:rPr>
          <w:rFonts w:ascii="Arial" w:hAnsi="Arial" w:cs="Arial"/>
          <w:b/>
          <w:bCs/>
          <w:sz w:val="24"/>
          <w:szCs w:val="24"/>
        </w:rPr>
        <w:t>(2) Significancia del Impacto</w:t>
      </w:r>
      <w:r w:rsidRPr="003C1075">
        <w:rPr>
          <w:rFonts w:ascii="Arial" w:hAnsi="Arial" w:cs="Arial"/>
          <w:sz w:val="24"/>
          <w:szCs w:val="24"/>
        </w:rPr>
        <w:t>, enfocando recursos en las áreas de mayor consumo o generación de riesgo.</w:t>
      </w: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2. Fase de Ejecución (Implementación Operativa):</w:t>
      </w:r>
    </w:p>
    <w:p w:rsidR="00554FEE" w:rsidRPr="003C1075" w:rsidRDefault="001000CA">
      <w:pPr>
        <w:spacing w:after="0"/>
        <w:jc w:val="both"/>
        <w:rPr>
          <w:rFonts w:ascii="Arial" w:hAnsi="Arial" w:cs="Arial"/>
          <w:sz w:val="24"/>
          <w:szCs w:val="24"/>
        </w:rPr>
      </w:pPr>
      <w:r w:rsidRPr="003C1075">
        <w:rPr>
          <w:rFonts w:ascii="Arial" w:hAnsi="Arial" w:cs="Arial"/>
          <w:sz w:val="24"/>
          <w:szCs w:val="24"/>
        </w:rPr>
        <w:t>Corresponde a la puesta en marcha de los programas definidos (Ahorro de agua, energía, residuos, compras sostenibles).</w:t>
      </w:r>
    </w:p>
    <w:p w:rsidR="00554FEE" w:rsidRPr="003C1075" w:rsidRDefault="001000CA">
      <w:pPr>
        <w:numPr>
          <w:ilvl w:val="0"/>
          <w:numId w:val="6"/>
        </w:numPr>
        <w:spacing w:after="0"/>
        <w:jc w:val="both"/>
        <w:rPr>
          <w:rFonts w:ascii="Arial" w:hAnsi="Arial" w:cs="Arial"/>
          <w:sz w:val="24"/>
          <w:szCs w:val="24"/>
        </w:rPr>
      </w:pPr>
      <w:r w:rsidRPr="003C1075">
        <w:rPr>
          <w:rFonts w:ascii="Arial" w:hAnsi="Arial" w:cs="Arial"/>
          <w:b/>
          <w:bCs/>
          <w:sz w:val="24"/>
          <w:szCs w:val="24"/>
        </w:rPr>
        <w:t>Mecanismos:</w:t>
      </w:r>
      <w:r w:rsidRPr="003C1075">
        <w:rPr>
          <w:rFonts w:ascii="Arial" w:hAnsi="Arial" w:cs="Arial"/>
          <w:sz w:val="24"/>
          <w:szCs w:val="24"/>
        </w:rPr>
        <w:t xml:space="preserve"> Se ejecutan controles operacionales (ej. instalación de sensores, puntos ecológicos), jornadas de sensibilización y capacitación al personal, y la inclusión de criterios ambientales en los procesos de contratación.</w:t>
      </w:r>
    </w:p>
    <w:p w:rsidR="00554FEE" w:rsidRPr="003C1075" w:rsidRDefault="001000CA">
      <w:pPr>
        <w:numPr>
          <w:ilvl w:val="0"/>
          <w:numId w:val="6"/>
        </w:numPr>
        <w:spacing w:after="0"/>
        <w:jc w:val="both"/>
        <w:rPr>
          <w:rFonts w:ascii="Arial" w:hAnsi="Arial" w:cs="Arial"/>
          <w:sz w:val="24"/>
          <w:szCs w:val="24"/>
        </w:rPr>
      </w:pPr>
      <w:r w:rsidRPr="003C1075">
        <w:rPr>
          <w:rFonts w:ascii="Arial" w:hAnsi="Arial" w:cs="Arial"/>
          <w:b/>
          <w:bCs/>
          <w:sz w:val="24"/>
          <w:szCs w:val="24"/>
        </w:rPr>
        <w:t>Articulación:</w:t>
      </w:r>
      <w:r w:rsidRPr="003C1075">
        <w:rPr>
          <w:rFonts w:ascii="Arial" w:hAnsi="Arial" w:cs="Arial"/>
          <w:sz w:val="24"/>
          <w:szCs w:val="24"/>
        </w:rPr>
        <w:t xml:space="preserve"> La ejecución es transversal; el área de Gestión Ambiental lidera la estrategia, pero la implementación operativa recae en el Grupo de Gestión Administrativa (Infraestructura, Almacén) y los líderes de las sedes y parques.</w:t>
      </w:r>
    </w:p>
    <w:p w:rsidR="00554FEE" w:rsidRPr="003C1075" w:rsidRDefault="00554FEE">
      <w:pPr>
        <w:spacing w:after="0"/>
        <w:ind w:left="720"/>
        <w:jc w:val="both"/>
        <w:rPr>
          <w:rFonts w:ascii="Arial" w:hAnsi="Arial" w:cs="Arial"/>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3. Fase de Seguimiento (Verificación y Control):</w:t>
      </w:r>
    </w:p>
    <w:p w:rsidR="00554FEE" w:rsidRPr="003C1075" w:rsidRDefault="001000CA">
      <w:pPr>
        <w:spacing w:after="0"/>
        <w:jc w:val="both"/>
        <w:rPr>
          <w:rFonts w:ascii="Arial" w:hAnsi="Arial" w:cs="Arial"/>
          <w:sz w:val="24"/>
          <w:szCs w:val="24"/>
        </w:rPr>
      </w:pPr>
      <w:r w:rsidRPr="003C1075">
        <w:rPr>
          <w:rFonts w:ascii="Arial" w:hAnsi="Arial" w:cs="Arial"/>
          <w:sz w:val="24"/>
          <w:szCs w:val="24"/>
        </w:rPr>
        <w:t>Se monitorea el desempeño del plan para asegurar el cumplimiento de las metas.</w:t>
      </w:r>
    </w:p>
    <w:p w:rsidR="00554FEE" w:rsidRPr="003C1075" w:rsidRDefault="00554FEE">
      <w:pPr>
        <w:spacing w:after="0"/>
        <w:jc w:val="both"/>
        <w:rPr>
          <w:rFonts w:ascii="Arial" w:hAnsi="Arial" w:cs="Arial"/>
          <w:sz w:val="24"/>
          <w:szCs w:val="24"/>
        </w:rPr>
      </w:pPr>
    </w:p>
    <w:p w:rsidR="001239E9" w:rsidRPr="003C1075" w:rsidRDefault="001239E9">
      <w:pPr>
        <w:spacing w:after="0"/>
        <w:jc w:val="both"/>
        <w:rPr>
          <w:rFonts w:ascii="Arial" w:hAnsi="Arial" w:cs="Arial"/>
          <w:sz w:val="24"/>
          <w:szCs w:val="24"/>
        </w:rPr>
      </w:pPr>
    </w:p>
    <w:p w:rsidR="00554FEE" w:rsidRPr="003C1075" w:rsidRDefault="001000CA">
      <w:pPr>
        <w:numPr>
          <w:ilvl w:val="0"/>
          <w:numId w:val="7"/>
        </w:numPr>
        <w:spacing w:after="0"/>
        <w:jc w:val="both"/>
        <w:rPr>
          <w:rFonts w:ascii="Arial" w:hAnsi="Arial" w:cs="Arial"/>
          <w:sz w:val="24"/>
          <w:szCs w:val="24"/>
        </w:rPr>
      </w:pPr>
      <w:r w:rsidRPr="003C1075">
        <w:rPr>
          <w:rFonts w:ascii="Arial" w:hAnsi="Arial" w:cs="Arial"/>
          <w:b/>
          <w:bCs/>
          <w:sz w:val="24"/>
          <w:szCs w:val="24"/>
        </w:rPr>
        <w:t>Herramientas de Seguimiento:</w:t>
      </w:r>
    </w:p>
    <w:p w:rsidR="00554FEE" w:rsidRPr="003C1075" w:rsidRDefault="001000CA">
      <w:pPr>
        <w:numPr>
          <w:ilvl w:val="1"/>
          <w:numId w:val="7"/>
        </w:numPr>
        <w:spacing w:after="0"/>
        <w:jc w:val="both"/>
        <w:rPr>
          <w:rFonts w:ascii="Arial" w:hAnsi="Arial" w:cs="Arial"/>
          <w:sz w:val="24"/>
          <w:szCs w:val="24"/>
        </w:rPr>
      </w:pPr>
      <w:r w:rsidRPr="003C1075">
        <w:rPr>
          <w:rFonts w:ascii="Arial" w:hAnsi="Arial" w:cs="Arial"/>
          <w:b/>
          <w:bCs/>
          <w:sz w:val="24"/>
          <w:szCs w:val="24"/>
        </w:rPr>
        <w:t>Listas de Chequeo (</w:t>
      </w:r>
      <w:proofErr w:type="spellStart"/>
      <w:r w:rsidRPr="003C1075">
        <w:rPr>
          <w:rFonts w:ascii="Arial" w:hAnsi="Arial" w:cs="Arial"/>
          <w:b/>
          <w:bCs/>
          <w:sz w:val="24"/>
          <w:szCs w:val="24"/>
        </w:rPr>
        <w:t>Checklists</w:t>
      </w:r>
      <w:proofErr w:type="spellEnd"/>
      <w:r w:rsidRPr="003C1075">
        <w:rPr>
          <w:rFonts w:ascii="Arial" w:hAnsi="Arial" w:cs="Arial"/>
          <w:b/>
          <w:bCs/>
          <w:sz w:val="24"/>
          <w:szCs w:val="24"/>
        </w:rPr>
        <w:t>):</w:t>
      </w:r>
      <w:r w:rsidRPr="003C1075">
        <w:rPr>
          <w:rFonts w:ascii="Arial" w:hAnsi="Arial" w:cs="Arial"/>
          <w:sz w:val="24"/>
          <w:szCs w:val="24"/>
        </w:rPr>
        <w:t xml:space="preserve"> Inspecciones visuales periódicas para verificar la segregación en la fuente.</w:t>
      </w:r>
    </w:p>
    <w:p w:rsidR="00554FEE" w:rsidRPr="003C1075" w:rsidRDefault="001000CA">
      <w:pPr>
        <w:numPr>
          <w:ilvl w:val="1"/>
          <w:numId w:val="7"/>
        </w:numPr>
        <w:spacing w:after="0"/>
        <w:jc w:val="both"/>
        <w:rPr>
          <w:rFonts w:ascii="Arial" w:hAnsi="Arial" w:cs="Arial"/>
          <w:sz w:val="24"/>
          <w:szCs w:val="24"/>
        </w:rPr>
      </w:pPr>
      <w:r w:rsidRPr="003C1075">
        <w:rPr>
          <w:rFonts w:ascii="Arial" w:hAnsi="Arial" w:cs="Arial"/>
          <w:b/>
          <w:bCs/>
          <w:sz w:val="24"/>
          <w:szCs w:val="24"/>
        </w:rPr>
        <w:t>Indicadores de Gestión:</w:t>
      </w:r>
      <w:r w:rsidRPr="003C1075">
        <w:rPr>
          <w:rFonts w:ascii="Arial" w:hAnsi="Arial" w:cs="Arial"/>
          <w:sz w:val="24"/>
          <w:szCs w:val="24"/>
        </w:rPr>
        <w:t xml:space="preserve"> Medición de indicadores de </w:t>
      </w:r>
      <w:proofErr w:type="spellStart"/>
      <w:r w:rsidRPr="003C1075">
        <w:rPr>
          <w:rFonts w:ascii="Arial" w:hAnsi="Arial" w:cs="Arial"/>
          <w:sz w:val="24"/>
          <w:szCs w:val="24"/>
        </w:rPr>
        <w:t>ecoeficiencia</w:t>
      </w:r>
      <w:proofErr w:type="spellEnd"/>
      <w:r w:rsidRPr="003C1075">
        <w:rPr>
          <w:rFonts w:ascii="Arial" w:hAnsi="Arial" w:cs="Arial"/>
          <w:sz w:val="24"/>
          <w:szCs w:val="24"/>
        </w:rPr>
        <w:t xml:space="preserve"> (ej. </w:t>
      </w:r>
      <w:proofErr w:type="spellStart"/>
      <w:r w:rsidRPr="003C1075">
        <w:rPr>
          <w:rFonts w:ascii="Arial" w:hAnsi="Arial" w:cs="Arial"/>
          <w:sz w:val="24"/>
          <w:szCs w:val="24"/>
        </w:rPr>
        <w:t>kWh</w:t>
      </w:r>
      <w:proofErr w:type="spellEnd"/>
      <w:r w:rsidRPr="003C1075">
        <w:rPr>
          <w:rFonts w:ascii="Arial" w:hAnsi="Arial" w:cs="Arial"/>
          <w:sz w:val="24"/>
          <w:szCs w:val="24"/>
        </w:rPr>
        <w:t>, m3 de agua).</w:t>
      </w: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4. Fase de Actuación (Mejora):</w:t>
      </w:r>
      <w:bookmarkStart w:id="53" w:name="_GoBack"/>
      <w:bookmarkEnd w:id="53"/>
    </w:p>
    <w:p w:rsidR="00554FEE" w:rsidRPr="003C1075" w:rsidRDefault="00554FEE">
      <w:pPr>
        <w:spacing w:after="0"/>
        <w:jc w:val="both"/>
        <w:rPr>
          <w:rFonts w:ascii="Arial" w:hAnsi="Arial" w:cs="Arial"/>
          <w:b/>
          <w:bCs/>
          <w:sz w:val="24"/>
          <w:szCs w:val="24"/>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A partir de los resultados del seguimiento:</w:t>
      </w:r>
    </w:p>
    <w:p w:rsidR="00554FEE" w:rsidRPr="003C1075" w:rsidRDefault="001000CA">
      <w:pPr>
        <w:numPr>
          <w:ilvl w:val="0"/>
          <w:numId w:val="18"/>
        </w:numPr>
        <w:spacing w:after="0"/>
        <w:ind w:left="283" w:hanging="283"/>
        <w:jc w:val="both"/>
        <w:rPr>
          <w:rFonts w:ascii="Arial" w:hAnsi="Arial" w:cs="Arial"/>
          <w:b/>
          <w:bCs/>
          <w:sz w:val="24"/>
          <w:szCs w:val="24"/>
        </w:rPr>
      </w:pPr>
      <w:r w:rsidRPr="003C1075">
        <w:rPr>
          <w:rFonts w:ascii="Arial" w:hAnsi="Arial" w:cs="Arial"/>
          <w:b/>
          <w:bCs/>
          <w:sz w:val="24"/>
          <w:szCs w:val="24"/>
        </w:rPr>
        <w:t xml:space="preserve"> Se toman decisiones correctivas:</w:t>
      </w:r>
    </w:p>
    <w:p w:rsidR="00554FEE" w:rsidRPr="003C1075" w:rsidRDefault="001000CA">
      <w:pPr>
        <w:numPr>
          <w:ilvl w:val="0"/>
          <w:numId w:val="8"/>
        </w:numPr>
        <w:spacing w:after="0"/>
        <w:jc w:val="both"/>
        <w:rPr>
          <w:rFonts w:ascii="Arial" w:hAnsi="Arial" w:cs="Arial"/>
          <w:sz w:val="24"/>
          <w:szCs w:val="24"/>
        </w:rPr>
      </w:pPr>
      <w:r w:rsidRPr="003C1075">
        <w:rPr>
          <w:rFonts w:ascii="Arial" w:hAnsi="Arial" w:cs="Arial"/>
          <w:b/>
          <w:bCs/>
          <w:sz w:val="24"/>
          <w:szCs w:val="24"/>
        </w:rPr>
        <w:lastRenderedPageBreak/>
        <w:t>Acciones:</w:t>
      </w:r>
      <w:r w:rsidRPr="003C1075">
        <w:rPr>
          <w:rFonts w:ascii="Arial" w:hAnsi="Arial" w:cs="Arial"/>
          <w:sz w:val="24"/>
          <w:szCs w:val="24"/>
        </w:rPr>
        <w:t xml:space="preserve"> Si las metas no se cumplen, se formulan Planes de Mejoramiento o Acciones Correctivas. Los resultados se consolidan en el informe de Revisión por la Dirección para ajustar recursos o estrategias de cara a la siguiente vigencia.</w:t>
      </w:r>
    </w:p>
    <w:p w:rsidR="00554FEE" w:rsidRPr="003C1075" w:rsidRDefault="00554FEE">
      <w:pPr>
        <w:spacing w:after="0"/>
        <w:jc w:val="both"/>
        <w:rPr>
          <w:rFonts w:ascii="Arial" w:hAnsi="Arial" w:cs="Arial"/>
          <w:i/>
          <w:iCs/>
          <w:sz w:val="24"/>
          <w:szCs w:val="24"/>
          <w:highlight w:val="lightGray"/>
        </w:rPr>
      </w:pPr>
    </w:p>
    <w:p w:rsidR="00554FEE" w:rsidRPr="003C1075" w:rsidRDefault="001000CA">
      <w:pPr>
        <w:pBdr>
          <w:top w:val="nil"/>
          <w:left w:val="nil"/>
          <w:bottom w:val="nil"/>
          <w:right w:val="nil"/>
          <w:between w:val="nil"/>
        </w:pBdr>
        <w:rPr>
          <w:rFonts w:ascii="Arial" w:hAnsi="Arial" w:cs="Arial"/>
          <w:b/>
          <w:bCs/>
          <w:color w:val="000000"/>
          <w:sz w:val="24"/>
          <w:szCs w:val="24"/>
        </w:rPr>
      </w:pPr>
      <w:r w:rsidRPr="003C1075">
        <w:rPr>
          <w:rFonts w:ascii="Arial" w:hAnsi="Arial" w:cs="Arial"/>
          <w:b/>
          <w:bCs/>
          <w:sz w:val="24"/>
          <w:szCs w:val="24"/>
        </w:rPr>
        <w:t>b. Ejecución</w:t>
      </w:r>
      <w:r w:rsidRPr="003C1075">
        <w:rPr>
          <w:rFonts w:ascii="Arial" w:hAnsi="Arial" w:cs="Arial"/>
          <w:b/>
          <w:bCs/>
          <w:color w:val="000000"/>
          <w:sz w:val="24"/>
          <w:szCs w:val="24"/>
        </w:rPr>
        <w:t xml:space="preserve"> – Cronograma (formato de Excel):</w:t>
      </w:r>
    </w:p>
    <w:p w:rsidR="00554FEE" w:rsidRPr="003C1075" w:rsidRDefault="001000CA">
      <w:pPr>
        <w:spacing w:after="0"/>
        <w:jc w:val="both"/>
        <w:rPr>
          <w:rFonts w:ascii="Arial" w:hAnsi="Arial" w:cs="Arial"/>
          <w:sz w:val="24"/>
          <w:szCs w:val="24"/>
        </w:rPr>
      </w:pPr>
      <w:r w:rsidRPr="003C1075">
        <w:rPr>
          <w:rFonts w:ascii="Arial" w:hAnsi="Arial" w:cs="Arial"/>
          <w:sz w:val="24"/>
          <w:szCs w:val="24"/>
        </w:rPr>
        <w:t>Se adjunta formato de Excel</w:t>
      </w:r>
    </w:p>
    <w:p w:rsidR="00554FEE" w:rsidRPr="003C1075" w:rsidRDefault="00554FEE">
      <w:pPr>
        <w:spacing w:after="0"/>
        <w:jc w:val="both"/>
        <w:rPr>
          <w:rFonts w:ascii="Arial" w:hAnsi="Arial" w:cs="Arial"/>
          <w:i/>
          <w:iCs/>
          <w:sz w:val="24"/>
          <w:szCs w:val="24"/>
          <w:highlight w:val="lightGray"/>
        </w:rPr>
      </w:pPr>
    </w:p>
    <w:p w:rsidR="00554FEE" w:rsidRPr="003C1075" w:rsidRDefault="001000CA">
      <w:pPr>
        <w:spacing w:after="0"/>
        <w:rPr>
          <w:rFonts w:ascii="Arial" w:hAnsi="Arial" w:cs="Arial"/>
          <w:b/>
          <w:bCs/>
          <w:color w:val="000000"/>
          <w:sz w:val="24"/>
          <w:szCs w:val="24"/>
        </w:rPr>
      </w:pPr>
      <w:r w:rsidRPr="003C1075">
        <w:rPr>
          <w:rFonts w:ascii="Arial" w:hAnsi="Arial" w:cs="Arial"/>
          <w:b/>
          <w:bCs/>
          <w:sz w:val="24"/>
          <w:szCs w:val="24"/>
        </w:rPr>
        <w:t xml:space="preserve">c. </w:t>
      </w:r>
      <w:r w:rsidRPr="003C1075">
        <w:rPr>
          <w:rFonts w:ascii="Arial" w:hAnsi="Arial" w:cs="Arial"/>
          <w:b/>
          <w:bCs/>
          <w:color w:val="000000"/>
          <w:sz w:val="24"/>
          <w:szCs w:val="24"/>
        </w:rPr>
        <w:t>Seguimiento y evaluación:</w:t>
      </w:r>
    </w:p>
    <w:p w:rsidR="00554FEE" w:rsidRPr="003C1075" w:rsidRDefault="00554FEE">
      <w:pPr>
        <w:spacing w:after="0"/>
        <w:jc w:val="both"/>
        <w:rPr>
          <w:rFonts w:ascii="Arial" w:hAnsi="Arial" w:cs="Arial"/>
          <w:i/>
          <w:iCs/>
          <w:sz w:val="24"/>
          <w:szCs w:val="24"/>
          <w:highlight w:val="lightGray"/>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El seguimiento y evaluación del Plan Institucional de Gestión Ambiental (PIGA) del ICANH se realizará con el fin de verificar el cumplimiento de los objetivos, programas y actividades formuladas en el indicador de gestión relacionadas con un indicador de cumplimiento; medir el avance de las acciones ambientales realizadas sobre las programadas para generar un porcentaje de avance y facilitar la toma de decisiones oportunas para su mejora continua.</w:t>
      </w:r>
    </w:p>
    <w:p w:rsidR="00554FEE" w:rsidRPr="003C1075" w:rsidRDefault="00554FEE">
      <w:pPr>
        <w:spacing w:after="0"/>
        <w:jc w:val="both"/>
        <w:rPr>
          <w:rFonts w:ascii="Arial" w:hAnsi="Arial" w:cs="Arial"/>
          <w:b/>
          <w:bCs/>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Medición del avance e indicadores:</w:t>
      </w:r>
    </w:p>
    <w:p w:rsidR="00554FEE" w:rsidRPr="003C1075" w:rsidRDefault="001000CA">
      <w:pPr>
        <w:spacing w:after="0"/>
        <w:jc w:val="both"/>
        <w:rPr>
          <w:rFonts w:ascii="Arial" w:hAnsi="Arial" w:cs="Arial"/>
          <w:sz w:val="24"/>
          <w:szCs w:val="24"/>
        </w:rPr>
      </w:pPr>
      <w:r w:rsidRPr="003C1075">
        <w:rPr>
          <w:rFonts w:ascii="Arial" w:hAnsi="Arial" w:cs="Arial"/>
          <w:sz w:val="24"/>
          <w:szCs w:val="24"/>
        </w:rPr>
        <w:t>El avance del PIGA se medirá mediante indicadores de gestión y de resultado, asociados a cada programa ambiental (uso eficiente de recursos, gestión integral de residuos, consumo responsable, educación ambiental, entre otros).</w:t>
      </w:r>
    </w:p>
    <w:p w:rsidR="00554FEE" w:rsidRPr="003C1075" w:rsidRDefault="001000CA">
      <w:pPr>
        <w:spacing w:after="0"/>
        <w:jc w:val="both"/>
        <w:rPr>
          <w:rFonts w:ascii="Arial" w:hAnsi="Arial" w:cs="Arial"/>
          <w:sz w:val="24"/>
          <w:szCs w:val="24"/>
        </w:rPr>
      </w:pPr>
      <w:r w:rsidRPr="003C1075">
        <w:rPr>
          <w:rFonts w:ascii="Arial" w:hAnsi="Arial" w:cs="Arial"/>
          <w:sz w:val="24"/>
          <w:szCs w:val="24"/>
        </w:rPr>
        <w:t xml:space="preserve">El principal indicador del plan será el </w:t>
      </w:r>
      <w:r w:rsidRPr="003C1075">
        <w:rPr>
          <w:rFonts w:ascii="Arial" w:hAnsi="Arial" w:cs="Arial"/>
          <w:b/>
          <w:bCs/>
          <w:sz w:val="24"/>
          <w:szCs w:val="24"/>
        </w:rPr>
        <w:t>porcentaje de cumplimiento del PIGA</w:t>
      </w:r>
      <w:r w:rsidRPr="003C1075">
        <w:rPr>
          <w:rFonts w:ascii="Arial" w:hAnsi="Arial" w:cs="Arial"/>
          <w:sz w:val="24"/>
          <w:szCs w:val="24"/>
        </w:rPr>
        <w:t>, calculado de la siguiente manera:</w:t>
      </w:r>
    </w:p>
    <w:p w:rsidR="00554FEE" w:rsidRPr="003C1075" w:rsidRDefault="00554FEE">
      <w:pPr>
        <w:spacing w:after="0"/>
        <w:jc w:val="both"/>
        <w:rPr>
          <w:rFonts w:ascii="Arial" w:hAnsi="Arial" w:cs="Arial"/>
          <w:sz w:val="24"/>
          <w:szCs w:val="24"/>
        </w:rPr>
      </w:pPr>
    </w:p>
    <w:p w:rsidR="001239E9" w:rsidRPr="003C1075" w:rsidRDefault="001239E9">
      <w:pPr>
        <w:spacing w:after="0"/>
        <w:jc w:val="both"/>
        <w:rPr>
          <w:rFonts w:ascii="Arial" w:hAnsi="Arial" w:cs="Arial"/>
          <w:b/>
          <w:bCs/>
          <w:sz w:val="24"/>
          <w:szCs w:val="24"/>
        </w:rPr>
      </w:pPr>
    </w:p>
    <w:p w:rsidR="00554FEE" w:rsidRPr="003C1075" w:rsidRDefault="001000CA">
      <w:pPr>
        <w:spacing w:after="0"/>
        <w:jc w:val="both"/>
        <w:rPr>
          <w:rFonts w:ascii="Arial" w:hAnsi="Arial" w:cs="Arial"/>
          <w:sz w:val="24"/>
          <w:szCs w:val="24"/>
        </w:rPr>
      </w:pPr>
      <w:r w:rsidRPr="003C1075">
        <w:rPr>
          <w:rFonts w:ascii="Arial" w:hAnsi="Arial" w:cs="Arial"/>
          <w:b/>
          <w:bCs/>
          <w:sz w:val="24"/>
          <w:szCs w:val="24"/>
        </w:rPr>
        <w:t>Fórmula del indicador:</w:t>
      </w:r>
    </w:p>
    <w:p w:rsidR="00554FEE" w:rsidRPr="003C1075" w:rsidRDefault="001000CA">
      <w:pPr>
        <w:spacing w:after="0"/>
        <w:jc w:val="both"/>
        <w:rPr>
          <w:rFonts w:ascii="Arial" w:hAnsi="Arial" w:cs="Arial"/>
          <w:sz w:val="24"/>
          <w:szCs w:val="24"/>
        </w:rPr>
      </w:pPr>
      <w:r w:rsidRPr="003C1075">
        <w:rPr>
          <w:rFonts w:ascii="Arial" w:hAnsi="Arial" w:cs="Arial"/>
          <w:sz w:val="24"/>
          <w:szCs w:val="24"/>
        </w:rPr>
        <w:t>(Número de actividades ejecutadas / Número total de actividades programadas) × 100</w:t>
      </w:r>
    </w:p>
    <w:p w:rsidR="00554FEE" w:rsidRPr="003C1075" w:rsidRDefault="001000CA">
      <w:pPr>
        <w:spacing w:after="0"/>
        <w:jc w:val="both"/>
        <w:rPr>
          <w:rFonts w:ascii="Arial" w:hAnsi="Arial" w:cs="Arial"/>
          <w:sz w:val="24"/>
          <w:szCs w:val="24"/>
        </w:rPr>
      </w:pPr>
      <w:r w:rsidRPr="003C1075">
        <w:rPr>
          <w:rFonts w:ascii="Arial" w:hAnsi="Arial" w:cs="Arial"/>
          <w:sz w:val="24"/>
          <w:szCs w:val="24"/>
        </w:rPr>
        <w:t>De manera complementaria, se emplearán indicadores específicos por programa, tales como reducción del consumo de agua y energía, porcentaje de residuos aprovechados, número de actividades de sensibilización ambiental realizadas y nivel de cumplimiento normativo ambiental.</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Evidencias:</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Como fuentes de verificación se generarán y conservarán las siguientes evidencias:</w:t>
      </w:r>
    </w:p>
    <w:p w:rsidR="00554FEE" w:rsidRPr="003C1075" w:rsidRDefault="001000CA">
      <w:pPr>
        <w:numPr>
          <w:ilvl w:val="0"/>
          <w:numId w:val="10"/>
        </w:numPr>
        <w:spacing w:after="0"/>
        <w:jc w:val="both"/>
        <w:rPr>
          <w:rFonts w:ascii="Arial" w:hAnsi="Arial" w:cs="Arial"/>
          <w:sz w:val="24"/>
          <w:szCs w:val="24"/>
        </w:rPr>
      </w:pPr>
      <w:r w:rsidRPr="003C1075">
        <w:rPr>
          <w:rFonts w:ascii="Arial" w:hAnsi="Arial" w:cs="Arial"/>
          <w:sz w:val="24"/>
          <w:szCs w:val="24"/>
        </w:rPr>
        <w:lastRenderedPageBreak/>
        <w:t>Informes de ejecución del PIGA.</w:t>
      </w:r>
    </w:p>
    <w:p w:rsidR="00554FEE" w:rsidRPr="003C1075" w:rsidRDefault="001000CA">
      <w:pPr>
        <w:numPr>
          <w:ilvl w:val="0"/>
          <w:numId w:val="10"/>
        </w:numPr>
        <w:spacing w:after="0"/>
        <w:jc w:val="both"/>
        <w:rPr>
          <w:rFonts w:ascii="Arial" w:hAnsi="Arial" w:cs="Arial"/>
          <w:sz w:val="24"/>
          <w:szCs w:val="24"/>
        </w:rPr>
      </w:pPr>
      <w:r w:rsidRPr="003C1075">
        <w:rPr>
          <w:rFonts w:ascii="Arial" w:hAnsi="Arial" w:cs="Arial"/>
          <w:sz w:val="24"/>
          <w:szCs w:val="24"/>
        </w:rPr>
        <w:t>Registros de consumo de agua, energía y papel.</w:t>
      </w:r>
    </w:p>
    <w:p w:rsidR="00554FEE" w:rsidRPr="003C1075" w:rsidRDefault="001000CA">
      <w:pPr>
        <w:numPr>
          <w:ilvl w:val="0"/>
          <w:numId w:val="10"/>
        </w:numPr>
        <w:spacing w:after="0"/>
        <w:jc w:val="both"/>
        <w:rPr>
          <w:rFonts w:ascii="Arial" w:hAnsi="Arial" w:cs="Arial"/>
          <w:sz w:val="24"/>
          <w:szCs w:val="24"/>
        </w:rPr>
      </w:pPr>
      <w:r w:rsidRPr="003C1075">
        <w:rPr>
          <w:rFonts w:ascii="Arial" w:hAnsi="Arial" w:cs="Arial"/>
          <w:sz w:val="24"/>
          <w:szCs w:val="24"/>
        </w:rPr>
        <w:t>Actas, listados de asistencia y material de las actividades de sensibilización.</w:t>
      </w:r>
    </w:p>
    <w:p w:rsidR="00554FEE" w:rsidRPr="003C1075" w:rsidRDefault="001000CA">
      <w:pPr>
        <w:numPr>
          <w:ilvl w:val="0"/>
          <w:numId w:val="10"/>
        </w:numPr>
        <w:spacing w:after="0"/>
        <w:jc w:val="both"/>
        <w:rPr>
          <w:rFonts w:ascii="Arial" w:hAnsi="Arial" w:cs="Arial"/>
          <w:i/>
          <w:iCs/>
          <w:sz w:val="24"/>
          <w:szCs w:val="24"/>
        </w:rPr>
      </w:pPr>
      <w:r w:rsidRPr="003C1075">
        <w:rPr>
          <w:rFonts w:ascii="Arial" w:hAnsi="Arial" w:cs="Arial"/>
          <w:sz w:val="24"/>
          <w:szCs w:val="24"/>
        </w:rPr>
        <w:t>Reportes de gestión de residuos y certificados de disposición final o aprovechamiento.</w:t>
      </w:r>
    </w:p>
    <w:p w:rsidR="00554FEE" w:rsidRPr="003C1075" w:rsidRDefault="00554FEE">
      <w:pPr>
        <w:spacing w:after="0"/>
        <w:jc w:val="both"/>
        <w:rPr>
          <w:rFonts w:ascii="Arial" w:hAnsi="Arial" w:cs="Arial"/>
          <w:b/>
          <w:bCs/>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Periodicidad de seguimiento y reporte:</w:t>
      </w:r>
    </w:p>
    <w:p w:rsidR="00554FEE" w:rsidRPr="003C1075" w:rsidRDefault="001000CA">
      <w:pPr>
        <w:numPr>
          <w:ilvl w:val="0"/>
          <w:numId w:val="10"/>
        </w:numPr>
        <w:pBdr>
          <w:top w:val="nil"/>
          <w:left w:val="nil"/>
          <w:bottom w:val="nil"/>
          <w:right w:val="nil"/>
          <w:between w:val="nil"/>
        </w:pBdr>
        <w:spacing w:after="0"/>
        <w:jc w:val="both"/>
        <w:rPr>
          <w:rFonts w:ascii="Arial" w:hAnsi="Arial" w:cs="Arial"/>
          <w:color w:val="000000"/>
          <w:sz w:val="24"/>
          <w:szCs w:val="24"/>
        </w:rPr>
      </w:pPr>
      <w:r w:rsidRPr="003C1075">
        <w:rPr>
          <w:rFonts w:ascii="Arial" w:hAnsi="Arial" w:cs="Arial"/>
          <w:color w:val="000000"/>
          <w:sz w:val="24"/>
          <w:szCs w:val="24"/>
        </w:rPr>
        <w:t xml:space="preserve">El seguimiento interno se realizará de manera </w:t>
      </w:r>
      <w:r w:rsidRPr="003C1075">
        <w:rPr>
          <w:rFonts w:ascii="Arial" w:hAnsi="Arial" w:cs="Arial"/>
          <w:b/>
          <w:bCs/>
          <w:color w:val="000000"/>
          <w:sz w:val="24"/>
          <w:szCs w:val="24"/>
        </w:rPr>
        <w:t>trimestral</w:t>
      </w:r>
      <w:r w:rsidRPr="003C1075">
        <w:rPr>
          <w:rFonts w:ascii="Arial" w:hAnsi="Arial" w:cs="Arial"/>
          <w:color w:val="000000"/>
          <w:sz w:val="24"/>
          <w:szCs w:val="24"/>
        </w:rPr>
        <w:t>, desde el proceso responsable de la gestión ambiental, con el fin de verificar avances, identificar desviaciones y proponer acciones correctivas o de mejora.</w:t>
      </w:r>
    </w:p>
    <w:p w:rsidR="00554FEE" w:rsidRPr="003C1075" w:rsidRDefault="001000CA">
      <w:pPr>
        <w:numPr>
          <w:ilvl w:val="0"/>
          <w:numId w:val="10"/>
        </w:numPr>
        <w:pBdr>
          <w:top w:val="nil"/>
          <w:left w:val="nil"/>
          <w:bottom w:val="nil"/>
          <w:right w:val="nil"/>
          <w:between w:val="nil"/>
        </w:pBdr>
        <w:spacing w:after="0"/>
        <w:jc w:val="both"/>
        <w:rPr>
          <w:rFonts w:ascii="Arial" w:hAnsi="Arial" w:cs="Arial"/>
          <w:color w:val="000000"/>
          <w:sz w:val="24"/>
          <w:szCs w:val="24"/>
        </w:rPr>
      </w:pPr>
      <w:r w:rsidRPr="003C1075">
        <w:rPr>
          <w:rFonts w:ascii="Arial" w:hAnsi="Arial" w:cs="Arial"/>
          <w:color w:val="000000"/>
          <w:sz w:val="24"/>
          <w:szCs w:val="24"/>
        </w:rPr>
        <w:t xml:space="preserve">El reporte consolidado del avance del PIGA se realizará de forma </w:t>
      </w:r>
      <w:r w:rsidRPr="003C1075">
        <w:rPr>
          <w:rFonts w:ascii="Arial" w:hAnsi="Arial" w:cs="Arial"/>
          <w:b/>
          <w:bCs/>
          <w:color w:val="000000"/>
          <w:sz w:val="24"/>
          <w:szCs w:val="24"/>
        </w:rPr>
        <w:t>semestral y anual</w:t>
      </w:r>
      <w:r w:rsidRPr="003C1075">
        <w:rPr>
          <w:rFonts w:ascii="Arial" w:hAnsi="Arial" w:cs="Arial"/>
          <w:color w:val="000000"/>
          <w:sz w:val="24"/>
          <w:szCs w:val="24"/>
        </w:rPr>
        <w:t>, de acuerdo con los lineamientos institucionales.</w:t>
      </w:r>
    </w:p>
    <w:p w:rsidR="00554FEE" w:rsidRPr="003C1075" w:rsidRDefault="00554FEE">
      <w:pPr>
        <w:spacing w:after="0"/>
        <w:jc w:val="both"/>
        <w:rPr>
          <w:rFonts w:ascii="Arial" w:hAnsi="Arial" w:cs="Arial"/>
          <w:i/>
          <w:iCs/>
          <w:sz w:val="24"/>
          <w:szCs w:val="24"/>
          <w:highlight w:val="lightGray"/>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Estrategia de seguimiento interno y externo:</w:t>
      </w:r>
    </w:p>
    <w:p w:rsidR="00554FEE" w:rsidRPr="003C1075" w:rsidRDefault="00554FEE">
      <w:pPr>
        <w:spacing w:after="0"/>
        <w:jc w:val="both"/>
        <w:rPr>
          <w:rFonts w:ascii="Arial" w:hAnsi="Arial" w:cs="Arial"/>
          <w:b/>
          <w:bCs/>
          <w:sz w:val="24"/>
          <w:szCs w:val="24"/>
        </w:rPr>
      </w:pPr>
    </w:p>
    <w:p w:rsidR="00554FEE" w:rsidRPr="003C1075" w:rsidRDefault="001000CA">
      <w:pPr>
        <w:numPr>
          <w:ilvl w:val="0"/>
          <w:numId w:val="11"/>
        </w:numPr>
        <w:spacing w:after="0"/>
        <w:jc w:val="both"/>
        <w:rPr>
          <w:rFonts w:ascii="Arial" w:hAnsi="Arial" w:cs="Arial"/>
          <w:sz w:val="24"/>
          <w:szCs w:val="24"/>
        </w:rPr>
      </w:pPr>
      <w:r w:rsidRPr="003C1075">
        <w:rPr>
          <w:rFonts w:ascii="Arial" w:hAnsi="Arial" w:cs="Arial"/>
          <w:b/>
          <w:bCs/>
          <w:sz w:val="24"/>
          <w:szCs w:val="24"/>
        </w:rPr>
        <w:t>Seguimiento interno:</w:t>
      </w:r>
      <w:r w:rsidRPr="003C1075">
        <w:rPr>
          <w:rFonts w:ascii="Arial" w:hAnsi="Arial" w:cs="Arial"/>
          <w:sz w:val="24"/>
          <w:szCs w:val="24"/>
        </w:rPr>
        <w:t xml:space="preserve"> estará a cargo del área responsable del PIGA, que realizará la recolección de información, el análisis de indicadores y la consolidación de evidencias, garantizando la trazabilidad de la ejecución del plan.</w:t>
      </w:r>
    </w:p>
    <w:p w:rsidR="00554FEE" w:rsidRPr="003C1075" w:rsidRDefault="001000CA">
      <w:pPr>
        <w:numPr>
          <w:ilvl w:val="0"/>
          <w:numId w:val="11"/>
        </w:numPr>
        <w:spacing w:after="0"/>
        <w:jc w:val="both"/>
        <w:rPr>
          <w:rFonts w:ascii="Arial" w:hAnsi="Arial" w:cs="Arial"/>
          <w:b/>
          <w:bCs/>
          <w:sz w:val="24"/>
          <w:szCs w:val="24"/>
        </w:rPr>
      </w:pPr>
      <w:r w:rsidRPr="003C1075">
        <w:rPr>
          <w:rFonts w:ascii="Arial" w:hAnsi="Arial" w:cs="Arial"/>
          <w:b/>
          <w:bCs/>
          <w:sz w:val="24"/>
          <w:szCs w:val="24"/>
        </w:rPr>
        <w:t>Seguimiento externo:</w:t>
      </w:r>
      <w:r w:rsidRPr="003C1075">
        <w:rPr>
          <w:rFonts w:ascii="Arial" w:hAnsi="Arial" w:cs="Arial"/>
          <w:sz w:val="24"/>
          <w:szCs w:val="24"/>
        </w:rPr>
        <w:t xml:space="preserve"> será efectuado por la </w:t>
      </w:r>
      <w:r w:rsidRPr="003C1075">
        <w:rPr>
          <w:rFonts w:ascii="Arial" w:hAnsi="Arial" w:cs="Arial"/>
          <w:b/>
          <w:bCs/>
          <w:sz w:val="24"/>
          <w:szCs w:val="24"/>
        </w:rPr>
        <w:t>Oficina Asesora de Planeación</w:t>
      </w:r>
      <w:r w:rsidRPr="003C1075">
        <w:rPr>
          <w:rFonts w:ascii="Arial" w:hAnsi="Arial" w:cs="Arial"/>
          <w:sz w:val="24"/>
          <w:szCs w:val="24"/>
        </w:rPr>
        <w:t>, la cual revisará los informes de avance, validará el cumplimiento de los indicadores y articulará el seguimiento del PIGA con el sistema institucional de planeación y el cumplimiento del Decreto 612.</w:t>
      </w:r>
    </w:p>
    <w:p w:rsidR="00554FEE" w:rsidRPr="003C1075" w:rsidRDefault="00554FEE">
      <w:pPr>
        <w:spacing w:after="0"/>
        <w:jc w:val="both"/>
        <w:rPr>
          <w:rFonts w:ascii="Arial" w:hAnsi="Arial" w:cs="Arial"/>
          <w:b/>
          <w:bCs/>
          <w:sz w:val="24"/>
          <w:szCs w:val="24"/>
        </w:rPr>
      </w:pPr>
    </w:p>
    <w:p w:rsidR="00554FEE" w:rsidRPr="003C1075" w:rsidRDefault="00554FEE">
      <w:pPr>
        <w:spacing w:after="0"/>
        <w:jc w:val="both"/>
        <w:rPr>
          <w:rFonts w:ascii="Arial" w:hAnsi="Arial" w:cs="Arial"/>
          <w:b/>
          <w:bCs/>
          <w:sz w:val="24"/>
          <w:szCs w:val="24"/>
        </w:rPr>
      </w:pPr>
    </w:p>
    <w:p w:rsidR="00554FEE" w:rsidRPr="003C1075" w:rsidRDefault="001000CA">
      <w:pPr>
        <w:spacing w:after="0"/>
        <w:jc w:val="both"/>
        <w:rPr>
          <w:rFonts w:ascii="Arial" w:hAnsi="Arial" w:cs="Arial"/>
          <w:b/>
          <w:bCs/>
          <w:sz w:val="24"/>
          <w:szCs w:val="24"/>
        </w:rPr>
      </w:pPr>
      <w:r w:rsidRPr="003C1075">
        <w:rPr>
          <w:rFonts w:ascii="Arial" w:hAnsi="Arial" w:cs="Arial"/>
          <w:b/>
          <w:bCs/>
          <w:sz w:val="24"/>
          <w:szCs w:val="24"/>
        </w:rPr>
        <w:t>Publicación y divulgación:</w:t>
      </w:r>
    </w:p>
    <w:p w:rsidR="00554FEE" w:rsidRPr="003C1075" w:rsidRDefault="00554FEE">
      <w:pPr>
        <w:spacing w:after="0"/>
        <w:jc w:val="both"/>
        <w:rPr>
          <w:rFonts w:ascii="Arial" w:hAnsi="Arial" w:cs="Arial"/>
          <w:sz w:val="24"/>
          <w:szCs w:val="24"/>
        </w:rPr>
      </w:pPr>
    </w:p>
    <w:p w:rsidR="00554FEE" w:rsidRPr="003C1075" w:rsidRDefault="001000CA">
      <w:pPr>
        <w:spacing w:after="0"/>
        <w:jc w:val="both"/>
        <w:rPr>
          <w:rFonts w:ascii="Arial" w:hAnsi="Arial" w:cs="Arial"/>
          <w:sz w:val="24"/>
          <w:szCs w:val="24"/>
        </w:rPr>
      </w:pPr>
      <w:r w:rsidRPr="003C1075">
        <w:rPr>
          <w:rFonts w:ascii="Arial" w:hAnsi="Arial" w:cs="Arial"/>
          <w:sz w:val="24"/>
          <w:szCs w:val="24"/>
        </w:rPr>
        <w:t xml:space="preserve">Los resultados del seguimiento y evaluación del PIGA serán remitidos a la Oficina Asesora de Planeación en las fechas establecidas en el cronograma institucional y publicados en la </w:t>
      </w:r>
      <w:r w:rsidRPr="003C1075">
        <w:rPr>
          <w:rFonts w:ascii="Arial" w:hAnsi="Arial" w:cs="Arial"/>
          <w:b/>
          <w:bCs/>
          <w:sz w:val="24"/>
          <w:szCs w:val="24"/>
        </w:rPr>
        <w:t>página web del ICANH</w:t>
      </w:r>
      <w:r w:rsidRPr="003C1075">
        <w:rPr>
          <w:rFonts w:ascii="Arial" w:hAnsi="Arial" w:cs="Arial"/>
          <w:sz w:val="24"/>
          <w:szCs w:val="24"/>
        </w:rPr>
        <w:t>, como parte de los informes de seguimiento a los planes institucionales, garantizando la transparencia y el acceso a la información.</w:t>
      </w:r>
    </w:p>
    <w:p w:rsidR="00554FEE" w:rsidRDefault="00554FEE">
      <w:pPr>
        <w:spacing w:after="0"/>
        <w:jc w:val="both"/>
        <w:rPr>
          <w:rFonts w:ascii="Arial" w:hAnsi="Arial" w:cs="Arial"/>
          <w:sz w:val="24"/>
          <w:szCs w:val="24"/>
        </w:rPr>
      </w:pPr>
    </w:p>
    <w:p w:rsidR="003C1075" w:rsidRDefault="003C1075">
      <w:pPr>
        <w:spacing w:after="0"/>
        <w:jc w:val="both"/>
        <w:rPr>
          <w:rFonts w:ascii="Arial" w:hAnsi="Arial" w:cs="Arial"/>
          <w:sz w:val="24"/>
          <w:szCs w:val="24"/>
        </w:rPr>
      </w:pPr>
    </w:p>
    <w:p w:rsidR="003C1075" w:rsidRDefault="003C1075">
      <w:pPr>
        <w:spacing w:after="0"/>
        <w:jc w:val="both"/>
        <w:rPr>
          <w:rFonts w:ascii="Arial" w:hAnsi="Arial" w:cs="Arial"/>
          <w:sz w:val="24"/>
          <w:szCs w:val="24"/>
        </w:rPr>
      </w:pPr>
    </w:p>
    <w:p w:rsidR="003C1075" w:rsidRDefault="003C1075">
      <w:pPr>
        <w:spacing w:after="0"/>
        <w:jc w:val="both"/>
        <w:rPr>
          <w:rFonts w:ascii="Arial" w:hAnsi="Arial" w:cs="Arial"/>
          <w:sz w:val="24"/>
          <w:szCs w:val="24"/>
        </w:rPr>
      </w:pPr>
    </w:p>
    <w:p w:rsidR="003C1075" w:rsidRDefault="003C1075">
      <w:pPr>
        <w:spacing w:after="0"/>
        <w:jc w:val="both"/>
        <w:rPr>
          <w:rFonts w:ascii="Arial" w:hAnsi="Arial" w:cs="Arial"/>
          <w:sz w:val="24"/>
          <w:szCs w:val="24"/>
        </w:rPr>
      </w:pPr>
    </w:p>
    <w:tbl>
      <w:tblPr>
        <w:tblStyle w:val="aff"/>
        <w:tblW w:w="1077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30"/>
        <w:gridCol w:w="2093"/>
        <w:gridCol w:w="5651"/>
      </w:tblGrid>
      <w:tr w:rsidR="003C1075" w:rsidRPr="00D7553B" w:rsidTr="003C1075">
        <w:trPr>
          <w:trHeight w:val="294"/>
        </w:trPr>
        <w:tc>
          <w:tcPr>
            <w:tcW w:w="10774" w:type="dxa"/>
            <w:gridSpan w:val="3"/>
            <w:shd w:val="clear" w:color="auto" w:fill="B3B3B3"/>
          </w:tcPr>
          <w:p w:rsidR="003C1075" w:rsidRPr="00D7553B" w:rsidRDefault="003C1075" w:rsidP="00CF2083">
            <w:pPr>
              <w:spacing w:after="0"/>
              <w:rPr>
                <w:rFonts w:ascii="Arial" w:eastAsia="Arial" w:hAnsi="Arial" w:cs="Arial"/>
                <w:sz w:val="20"/>
                <w:szCs w:val="20"/>
              </w:rPr>
            </w:pPr>
            <w:r w:rsidRPr="00D7553B">
              <w:rPr>
                <w:rFonts w:ascii="Arial" w:eastAsia="Arial" w:hAnsi="Arial" w:cs="Arial"/>
                <w:b/>
                <w:bCs/>
                <w:sz w:val="20"/>
                <w:szCs w:val="20"/>
              </w:rPr>
              <w:t>11. Control de cambios</w:t>
            </w:r>
          </w:p>
        </w:tc>
      </w:tr>
      <w:tr w:rsidR="003C1075" w:rsidRPr="00D7553B" w:rsidTr="003C1075">
        <w:trPr>
          <w:trHeight w:val="236"/>
        </w:trPr>
        <w:tc>
          <w:tcPr>
            <w:tcW w:w="3030" w:type="dxa"/>
            <w:vAlign w:val="center"/>
          </w:tcPr>
          <w:p w:rsidR="003C1075" w:rsidRPr="00D7553B" w:rsidRDefault="003C1075" w:rsidP="00CF2083">
            <w:pPr>
              <w:ind w:hanging="2"/>
              <w:jc w:val="center"/>
              <w:rPr>
                <w:rFonts w:ascii="Arial" w:eastAsia="Arial" w:hAnsi="Arial" w:cs="Arial"/>
                <w:sz w:val="16"/>
                <w:szCs w:val="16"/>
              </w:rPr>
            </w:pPr>
            <w:r w:rsidRPr="00D7553B">
              <w:rPr>
                <w:rFonts w:ascii="Arial" w:eastAsia="Arial" w:hAnsi="Arial" w:cs="Arial"/>
                <w:b/>
                <w:bCs/>
                <w:sz w:val="16"/>
                <w:szCs w:val="16"/>
              </w:rPr>
              <w:t>Versión</w:t>
            </w:r>
          </w:p>
        </w:tc>
        <w:tc>
          <w:tcPr>
            <w:tcW w:w="2093" w:type="dxa"/>
            <w:vAlign w:val="center"/>
          </w:tcPr>
          <w:p w:rsidR="003C1075" w:rsidRPr="00D7553B" w:rsidRDefault="003C1075" w:rsidP="00CF2083">
            <w:pPr>
              <w:ind w:hanging="2"/>
              <w:jc w:val="center"/>
              <w:rPr>
                <w:rFonts w:ascii="Arial" w:eastAsia="Arial" w:hAnsi="Arial" w:cs="Arial"/>
                <w:sz w:val="16"/>
                <w:szCs w:val="16"/>
              </w:rPr>
            </w:pPr>
            <w:r w:rsidRPr="00D7553B">
              <w:rPr>
                <w:rFonts w:ascii="Arial" w:eastAsia="Arial" w:hAnsi="Arial" w:cs="Arial"/>
                <w:b/>
                <w:bCs/>
                <w:sz w:val="16"/>
                <w:szCs w:val="16"/>
              </w:rPr>
              <w:t>Fecha</w:t>
            </w:r>
          </w:p>
        </w:tc>
        <w:tc>
          <w:tcPr>
            <w:tcW w:w="5651" w:type="dxa"/>
            <w:vAlign w:val="center"/>
          </w:tcPr>
          <w:p w:rsidR="003C1075" w:rsidRPr="00D7553B" w:rsidRDefault="003C1075" w:rsidP="00CF2083">
            <w:pPr>
              <w:ind w:hanging="2"/>
              <w:jc w:val="center"/>
              <w:rPr>
                <w:rFonts w:ascii="Arial" w:eastAsia="Arial" w:hAnsi="Arial" w:cs="Arial"/>
                <w:sz w:val="16"/>
                <w:szCs w:val="16"/>
              </w:rPr>
            </w:pPr>
            <w:r w:rsidRPr="00D7553B">
              <w:rPr>
                <w:rFonts w:ascii="Arial" w:eastAsia="Arial" w:hAnsi="Arial" w:cs="Arial"/>
                <w:b/>
                <w:bCs/>
                <w:sz w:val="16"/>
                <w:szCs w:val="16"/>
              </w:rPr>
              <w:t>Descripción general del cambio</w:t>
            </w:r>
          </w:p>
        </w:tc>
      </w:tr>
      <w:tr w:rsidR="003C1075" w:rsidTr="003C1075">
        <w:trPr>
          <w:trHeight w:val="141"/>
        </w:trPr>
        <w:tc>
          <w:tcPr>
            <w:tcW w:w="3030" w:type="dxa"/>
            <w:vAlign w:val="center"/>
          </w:tcPr>
          <w:p w:rsidR="003C1075" w:rsidRPr="00D7553B" w:rsidRDefault="003C1075" w:rsidP="00CF2083">
            <w:pPr>
              <w:ind w:hanging="2"/>
              <w:jc w:val="center"/>
              <w:rPr>
                <w:rFonts w:ascii="Arial" w:eastAsia="Arial" w:hAnsi="Arial" w:cs="Arial"/>
                <w:sz w:val="18"/>
                <w:szCs w:val="18"/>
              </w:rPr>
            </w:pPr>
            <w:r w:rsidRPr="00D7553B">
              <w:rPr>
                <w:rFonts w:ascii="Arial" w:eastAsia="Arial" w:hAnsi="Arial" w:cs="Arial"/>
                <w:sz w:val="18"/>
                <w:szCs w:val="18"/>
              </w:rPr>
              <w:t>001</w:t>
            </w:r>
          </w:p>
        </w:tc>
        <w:tc>
          <w:tcPr>
            <w:tcW w:w="2093" w:type="dxa"/>
            <w:vAlign w:val="center"/>
          </w:tcPr>
          <w:p w:rsidR="003C1075" w:rsidRPr="00D7553B" w:rsidRDefault="003C1075" w:rsidP="00CF2083">
            <w:pPr>
              <w:ind w:hanging="2"/>
              <w:jc w:val="center"/>
              <w:rPr>
                <w:rFonts w:ascii="Arial" w:eastAsia="Arial" w:hAnsi="Arial" w:cs="Arial"/>
                <w:sz w:val="18"/>
                <w:szCs w:val="18"/>
              </w:rPr>
            </w:pPr>
            <w:r w:rsidRPr="00D7553B">
              <w:rPr>
                <w:rFonts w:ascii="Arial" w:eastAsia="Arial" w:hAnsi="Arial" w:cs="Arial"/>
                <w:sz w:val="18"/>
                <w:szCs w:val="18"/>
              </w:rPr>
              <w:t>29-01-2026</w:t>
            </w:r>
          </w:p>
        </w:tc>
        <w:tc>
          <w:tcPr>
            <w:tcW w:w="5651" w:type="dxa"/>
            <w:vAlign w:val="center"/>
          </w:tcPr>
          <w:p w:rsidR="003C1075" w:rsidRPr="00D7553B" w:rsidRDefault="003C1075" w:rsidP="00CF2083">
            <w:pPr>
              <w:ind w:hanging="2"/>
              <w:jc w:val="center"/>
              <w:rPr>
                <w:rFonts w:ascii="Arial" w:eastAsia="Arial" w:hAnsi="Arial" w:cs="Arial"/>
                <w:sz w:val="18"/>
                <w:szCs w:val="18"/>
              </w:rPr>
            </w:pPr>
            <w:r w:rsidRPr="00D7553B">
              <w:rPr>
                <w:rFonts w:ascii="Arial" w:eastAsia="Arial" w:hAnsi="Arial" w:cs="Arial"/>
                <w:sz w:val="18"/>
                <w:szCs w:val="18"/>
              </w:rPr>
              <w:t>Creación del documento</w:t>
            </w:r>
          </w:p>
        </w:tc>
      </w:tr>
    </w:tbl>
    <w:p w:rsidR="00554FEE" w:rsidRPr="003C1075" w:rsidRDefault="00554FEE">
      <w:pPr>
        <w:spacing w:after="0"/>
        <w:jc w:val="both"/>
        <w:rPr>
          <w:rFonts w:ascii="Arial" w:hAnsi="Arial" w:cs="Arial"/>
          <w:i/>
          <w:iCs/>
          <w:sz w:val="24"/>
          <w:szCs w:val="24"/>
          <w:highlight w:val="lightGray"/>
        </w:rPr>
      </w:pPr>
      <w:bookmarkStart w:id="54" w:name="_heading=h.a1q89cxgr3v" w:colFirst="0" w:colLast="0"/>
      <w:bookmarkEnd w:id="54"/>
    </w:p>
    <w:tbl>
      <w:tblPr>
        <w:tblStyle w:val="afe"/>
        <w:tblpPr w:leftFromText="141" w:rightFromText="141" w:vertAnchor="text" w:tblpX="-719"/>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11"/>
        <w:gridCol w:w="3402"/>
        <w:gridCol w:w="3255"/>
      </w:tblGrid>
      <w:tr w:rsidR="00554FEE" w:rsidRPr="003C1075" w:rsidTr="003C1075">
        <w:trPr>
          <w:trHeight w:val="105"/>
        </w:trPr>
        <w:tc>
          <w:tcPr>
            <w:tcW w:w="4111" w:type="dxa"/>
            <w:vAlign w:val="center"/>
          </w:tcPr>
          <w:p w:rsidR="00554FEE" w:rsidRPr="003C1075" w:rsidRDefault="001000CA" w:rsidP="003C1075">
            <w:pPr>
              <w:spacing w:after="0" w:line="240" w:lineRule="auto"/>
              <w:ind w:hanging="2"/>
              <w:jc w:val="center"/>
              <w:rPr>
                <w:rFonts w:ascii="Arial" w:eastAsia="Arial" w:hAnsi="Arial" w:cs="Arial"/>
                <w:sz w:val="18"/>
                <w:szCs w:val="18"/>
                <w:shd w:val="clear" w:color="auto" w:fill="F8F8F8"/>
              </w:rPr>
            </w:pPr>
            <w:r w:rsidRPr="003C1075">
              <w:rPr>
                <w:rFonts w:ascii="Arial" w:eastAsia="Arial" w:hAnsi="Arial" w:cs="Arial"/>
                <w:b/>
                <w:bCs/>
                <w:sz w:val="18"/>
                <w:szCs w:val="18"/>
              </w:rPr>
              <w:t>ELABORÓ</w:t>
            </w:r>
          </w:p>
        </w:tc>
        <w:tc>
          <w:tcPr>
            <w:tcW w:w="3402" w:type="dxa"/>
            <w:vAlign w:val="center"/>
          </w:tcPr>
          <w:p w:rsidR="00554FEE" w:rsidRPr="003C1075" w:rsidRDefault="001000CA" w:rsidP="003C1075">
            <w:pPr>
              <w:spacing w:after="0" w:line="240" w:lineRule="auto"/>
              <w:ind w:hanging="2"/>
              <w:jc w:val="center"/>
              <w:rPr>
                <w:rFonts w:ascii="Arial" w:eastAsia="Arial" w:hAnsi="Arial" w:cs="Arial"/>
                <w:sz w:val="18"/>
                <w:szCs w:val="18"/>
                <w:shd w:val="clear" w:color="auto" w:fill="F8F8F8"/>
              </w:rPr>
            </w:pPr>
            <w:r w:rsidRPr="003C1075">
              <w:rPr>
                <w:rFonts w:ascii="Arial" w:eastAsia="Arial" w:hAnsi="Arial" w:cs="Arial"/>
                <w:b/>
                <w:bCs/>
                <w:sz w:val="18"/>
                <w:szCs w:val="18"/>
              </w:rPr>
              <w:t>REVISÓ</w:t>
            </w:r>
          </w:p>
        </w:tc>
        <w:tc>
          <w:tcPr>
            <w:tcW w:w="3255" w:type="dxa"/>
            <w:vAlign w:val="center"/>
          </w:tcPr>
          <w:p w:rsidR="00554FEE" w:rsidRPr="003C1075" w:rsidRDefault="001000CA" w:rsidP="003C1075">
            <w:pPr>
              <w:spacing w:after="0" w:line="240" w:lineRule="auto"/>
              <w:ind w:hanging="2"/>
              <w:jc w:val="center"/>
              <w:rPr>
                <w:rFonts w:ascii="Arial" w:eastAsia="Arial" w:hAnsi="Arial" w:cs="Arial"/>
                <w:sz w:val="18"/>
                <w:szCs w:val="18"/>
                <w:shd w:val="clear" w:color="auto" w:fill="F8F8F8"/>
              </w:rPr>
            </w:pPr>
            <w:r w:rsidRPr="003C1075">
              <w:rPr>
                <w:rFonts w:ascii="Arial" w:eastAsia="Arial" w:hAnsi="Arial" w:cs="Arial"/>
                <w:b/>
                <w:bCs/>
                <w:sz w:val="18"/>
                <w:szCs w:val="18"/>
              </w:rPr>
              <w:t>APROBÓ</w:t>
            </w:r>
          </w:p>
        </w:tc>
      </w:tr>
      <w:tr w:rsidR="00554FEE" w:rsidRPr="003C1075" w:rsidTr="003C1075">
        <w:trPr>
          <w:trHeight w:val="169"/>
        </w:trPr>
        <w:tc>
          <w:tcPr>
            <w:tcW w:w="4111" w:type="dxa"/>
            <w:vAlign w:val="center"/>
          </w:tcPr>
          <w:p w:rsidR="00554FEE" w:rsidRPr="003C1075" w:rsidRDefault="001000CA" w:rsidP="003C1075">
            <w:pPr>
              <w:spacing w:after="0" w:line="240" w:lineRule="auto"/>
              <w:ind w:hanging="2"/>
              <w:rPr>
                <w:rFonts w:ascii="Arial" w:eastAsia="Arial" w:hAnsi="Arial" w:cs="Arial"/>
                <w:b/>
                <w:bCs/>
                <w:sz w:val="18"/>
                <w:szCs w:val="18"/>
              </w:rPr>
            </w:pPr>
            <w:r w:rsidRPr="003C1075">
              <w:rPr>
                <w:rFonts w:ascii="Arial" w:eastAsia="Arial" w:hAnsi="Arial" w:cs="Arial"/>
                <w:b/>
                <w:bCs/>
                <w:sz w:val="18"/>
                <w:szCs w:val="18"/>
              </w:rPr>
              <w:t xml:space="preserve">Cargo: </w:t>
            </w:r>
            <w:r w:rsidRPr="003C1075">
              <w:rPr>
                <w:rFonts w:ascii="Arial" w:hAnsi="Arial" w:cs="Arial"/>
              </w:rPr>
              <w:t xml:space="preserve"> </w:t>
            </w:r>
            <w:r w:rsidRPr="003C1075">
              <w:rPr>
                <w:rFonts w:ascii="Arial" w:eastAsia="Arial" w:hAnsi="Arial" w:cs="Arial"/>
                <w:sz w:val="18"/>
                <w:szCs w:val="18"/>
              </w:rPr>
              <w:t>Profesional especializado código 2028 grado 15 - Área Funcional de Talento Humano.</w:t>
            </w:r>
          </w:p>
        </w:tc>
        <w:tc>
          <w:tcPr>
            <w:tcW w:w="3402" w:type="dxa"/>
            <w:vAlign w:val="center"/>
          </w:tcPr>
          <w:p w:rsidR="00554FEE" w:rsidRDefault="001000CA" w:rsidP="003C1075">
            <w:pPr>
              <w:spacing w:after="0" w:line="240" w:lineRule="auto"/>
              <w:ind w:hanging="2"/>
              <w:rPr>
                <w:rFonts w:ascii="Arial" w:eastAsia="Arial" w:hAnsi="Arial" w:cs="Arial"/>
                <w:sz w:val="18"/>
                <w:szCs w:val="18"/>
              </w:rPr>
            </w:pPr>
            <w:r w:rsidRPr="003C1075">
              <w:rPr>
                <w:rFonts w:ascii="Arial" w:eastAsia="Arial" w:hAnsi="Arial" w:cs="Arial"/>
                <w:b/>
                <w:bCs/>
                <w:sz w:val="18"/>
                <w:szCs w:val="18"/>
              </w:rPr>
              <w:t xml:space="preserve">Cargo: </w:t>
            </w:r>
            <w:r w:rsidRPr="003C1075">
              <w:rPr>
                <w:rFonts w:ascii="Arial" w:eastAsia="Arial" w:hAnsi="Arial" w:cs="Arial"/>
                <w:sz w:val="18"/>
                <w:szCs w:val="18"/>
              </w:rPr>
              <w:t>Secretaria General</w:t>
            </w:r>
          </w:p>
          <w:p w:rsidR="003C1075" w:rsidRPr="003C1075" w:rsidRDefault="003C1075" w:rsidP="003C1075">
            <w:pPr>
              <w:spacing w:after="0" w:line="240" w:lineRule="auto"/>
              <w:ind w:hanging="2"/>
              <w:rPr>
                <w:rFonts w:ascii="Arial" w:eastAsia="Arial" w:hAnsi="Arial" w:cs="Arial"/>
                <w:b/>
                <w:bCs/>
                <w:sz w:val="18"/>
                <w:szCs w:val="18"/>
              </w:rPr>
            </w:pPr>
            <w:r>
              <w:rPr>
                <w:rFonts w:ascii="Arial" w:hAnsi="Arial" w:cs="Arial"/>
                <w:sz w:val="18"/>
              </w:rPr>
              <w:t>Contratista Oficina Asesora de Planeación</w:t>
            </w:r>
          </w:p>
        </w:tc>
        <w:tc>
          <w:tcPr>
            <w:tcW w:w="3255" w:type="dxa"/>
            <w:vAlign w:val="center"/>
          </w:tcPr>
          <w:p w:rsidR="00554FEE" w:rsidRPr="003C1075" w:rsidRDefault="001000CA" w:rsidP="003C1075">
            <w:pPr>
              <w:spacing w:after="0" w:line="240" w:lineRule="auto"/>
              <w:ind w:hanging="2"/>
              <w:rPr>
                <w:rFonts w:ascii="Arial" w:eastAsia="Arial" w:hAnsi="Arial" w:cs="Arial"/>
                <w:b/>
                <w:bCs/>
                <w:sz w:val="18"/>
                <w:szCs w:val="18"/>
              </w:rPr>
            </w:pPr>
            <w:r w:rsidRPr="003C1075">
              <w:rPr>
                <w:rFonts w:ascii="Arial" w:eastAsia="Arial" w:hAnsi="Arial" w:cs="Arial"/>
                <w:b/>
                <w:bCs/>
                <w:sz w:val="18"/>
                <w:szCs w:val="18"/>
              </w:rPr>
              <w:t xml:space="preserve">Cargo: </w:t>
            </w:r>
            <w:r w:rsidR="003C1075" w:rsidRPr="003C1075">
              <w:rPr>
                <w:rFonts w:ascii="Arial" w:eastAsia="Arial" w:hAnsi="Arial" w:cs="Arial"/>
                <w:sz w:val="18"/>
                <w:szCs w:val="18"/>
              </w:rPr>
              <w:t xml:space="preserve"> </w:t>
            </w:r>
            <w:r w:rsidR="003C1075" w:rsidRPr="003C1075">
              <w:rPr>
                <w:rFonts w:ascii="Arial" w:eastAsia="Arial" w:hAnsi="Arial" w:cs="Arial"/>
                <w:sz w:val="18"/>
                <w:szCs w:val="18"/>
              </w:rPr>
              <w:t>Secretaria General</w:t>
            </w:r>
          </w:p>
        </w:tc>
      </w:tr>
      <w:tr w:rsidR="00554FEE" w:rsidRPr="003C1075" w:rsidTr="003C1075">
        <w:trPr>
          <w:trHeight w:val="169"/>
        </w:trPr>
        <w:tc>
          <w:tcPr>
            <w:tcW w:w="4111" w:type="dxa"/>
            <w:vAlign w:val="center"/>
          </w:tcPr>
          <w:p w:rsidR="00554FEE" w:rsidRPr="003C1075" w:rsidRDefault="001000CA" w:rsidP="003C1075">
            <w:pPr>
              <w:spacing w:after="0" w:line="240" w:lineRule="auto"/>
              <w:ind w:hanging="2"/>
              <w:rPr>
                <w:rFonts w:ascii="Arial" w:eastAsia="Arial" w:hAnsi="Arial" w:cs="Arial"/>
                <w:b/>
                <w:bCs/>
                <w:sz w:val="18"/>
                <w:szCs w:val="18"/>
              </w:rPr>
            </w:pPr>
            <w:r w:rsidRPr="003C1075">
              <w:rPr>
                <w:rFonts w:ascii="Arial" w:eastAsia="Arial" w:hAnsi="Arial" w:cs="Arial"/>
                <w:b/>
                <w:bCs/>
                <w:sz w:val="18"/>
                <w:szCs w:val="18"/>
              </w:rPr>
              <w:t xml:space="preserve">Fecha: </w:t>
            </w:r>
            <w:r w:rsidRPr="003C1075">
              <w:rPr>
                <w:rFonts w:ascii="Arial" w:eastAsia="Arial" w:hAnsi="Arial" w:cs="Arial"/>
                <w:color w:val="A6A6A6"/>
                <w:sz w:val="18"/>
                <w:szCs w:val="18"/>
              </w:rPr>
              <w:t xml:space="preserve"> 2026-01-27</w:t>
            </w:r>
          </w:p>
        </w:tc>
        <w:tc>
          <w:tcPr>
            <w:tcW w:w="3402" w:type="dxa"/>
          </w:tcPr>
          <w:p w:rsidR="00554FEE" w:rsidRPr="003C1075" w:rsidRDefault="001000CA" w:rsidP="003C1075">
            <w:pPr>
              <w:spacing w:after="0" w:line="240" w:lineRule="auto"/>
              <w:ind w:hanging="2"/>
              <w:rPr>
                <w:rFonts w:ascii="Arial" w:eastAsia="Arial" w:hAnsi="Arial" w:cs="Arial"/>
                <w:b/>
                <w:bCs/>
                <w:sz w:val="18"/>
                <w:szCs w:val="18"/>
              </w:rPr>
            </w:pPr>
            <w:r w:rsidRPr="003C1075">
              <w:rPr>
                <w:rFonts w:ascii="Arial" w:eastAsia="Arial" w:hAnsi="Arial" w:cs="Arial"/>
                <w:b/>
                <w:bCs/>
                <w:sz w:val="18"/>
                <w:szCs w:val="18"/>
              </w:rPr>
              <w:t xml:space="preserve">Fecha: </w:t>
            </w:r>
            <w:r w:rsidR="003C1075">
              <w:rPr>
                <w:rFonts w:ascii="Arial" w:eastAsia="Arial" w:hAnsi="Arial" w:cs="Arial"/>
                <w:color w:val="A6A6A6"/>
                <w:sz w:val="18"/>
                <w:szCs w:val="18"/>
              </w:rPr>
              <w:t xml:space="preserve"> 2026-01-29</w:t>
            </w:r>
          </w:p>
        </w:tc>
        <w:tc>
          <w:tcPr>
            <w:tcW w:w="3255" w:type="dxa"/>
          </w:tcPr>
          <w:p w:rsidR="00554FEE" w:rsidRPr="003C1075" w:rsidRDefault="001000CA" w:rsidP="003C1075">
            <w:pPr>
              <w:spacing w:after="0" w:line="240" w:lineRule="auto"/>
              <w:ind w:hanging="2"/>
              <w:rPr>
                <w:rFonts w:ascii="Arial" w:eastAsia="Arial" w:hAnsi="Arial" w:cs="Arial"/>
                <w:b/>
                <w:bCs/>
                <w:sz w:val="18"/>
                <w:szCs w:val="18"/>
              </w:rPr>
            </w:pPr>
            <w:r w:rsidRPr="003C1075">
              <w:rPr>
                <w:rFonts w:ascii="Arial" w:eastAsia="Arial" w:hAnsi="Arial" w:cs="Arial"/>
                <w:b/>
                <w:bCs/>
                <w:sz w:val="18"/>
                <w:szCs w:val="18"/>
              </w:rPr>
              <w:t xml:space="preserve">Fecha: </w:t>
            </w:r>
            <w:r w:rsidR="003C1075">
              <w:rPr>
                <w:rFonts w:ascii="Arial" w:eastAsia="Arial" w:hAnsi="Arial" w:cs="Arial"/>
                <w:color w:val="A6A6A6"/>
                <w:sz w:val="18"/>
                <w:szCs w:val="18"/>
              </w:rPr>
              <w:t>2026-01-29</w:t>
            </w:r>
          </w:p>
        </w:tc>
      </w:tr>
    </w:tbl>
    <w:p w:rsidR="00554FEE" w:rsidRPr="003C1075" w:rsidRDefault="00554FEE">
      <w:pPr>
        <w:spacing w:after="0"/>
        <w:jc w:val="both"/>
        <w:rPr>
          <w:rFonts w:ascii="Arial" w:hAnsi="Arial" w:cs="Arial"/>
          <w:i/>
          <w:iCs/>
          <w:sz w:val="24"/>
          <w:szCs w:val="24"/>
          <w:highlight w:val="lightGray"/>
        </w:rPr>
      </w:pPr>
      <w:bookmarkStart w:id="55" w:name="_heading=h.gjdgxs" w:colFirst="0" w:colLast="0"/>
      <w:bookmarkEnd w:id="55"/>
    </w:p>
    <w:sectPr w:rsidR="00554FEE" w:rsidRPr="003C1075">
      <w:headerReference w:type="default" r:id="rId17"/>
      <w:footerReference w:type="default" r:id="rId18"/>
      <w:headerReference w:type="first" r:id="rId19"/>
      <w:pgSz w:w="12240" w:h="15840"/>
      <w:pgMar w:top="907" w:right="1327" w:bottom="1418" w:left="1701" w:header="1372"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7725" w:rsidRDefault="00D47725">
      <w:pPr>
        <w:spacing w:after="0" w:line="240" w:lineRule="auto"/>
      </w:pPr>
      <w:r>
        <w:separator/>
      </w:r>
    </w:p>
  </w:endnote>
  <w:endnote w:type="continuationSeparator" w:id="0">
    <w:p w:rsidR="00D47725" w:rsidRDefault="00D477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embedRegular r:id="rId1" w:fontKey="{B3E48F47-FA6A-4E0F-93D1-65C2A3F2F37D}"/>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embedRegular r:id="rId2" w:fontKey="{E98D9C68-E29A-4E43-B7E2-1D1A1599CA27}"/>
    <w:embedBold r:id="rId3" w:fontKey="{B8281936-3B09-4366-9564-AE33ECFFA8D2}"/>
    <w:embedItalic r:id="rId4" w:fontKey="{DB139CB6-847B-4CEB-AB6B-ABF1BC5A7B6E}"/>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embedRegular r:id="rId5" w:fontKey="{4218E05E-A6C8-4E40-9A5C-042A479144B2}"/>
  </w:font>
  <w:font w:name="Calibri Light">
    <w:panose1 w:val="020F0302020204030204"/>
    <w:charset w:val="00"/>
    <w:family w:val="swiss"/>
    <w:pitch w:val="variable"/>
    <w:sig w:usb0="A00002EF" w:usb1="4000207B" w:usb2="00000000" w:usb3="00000000" w:csb0="0000009F" w:csb1="00000000"/>
    <w:embedRegular r:id="rId6" w:fontKey="{323F7E4E-AA71-46C1-BC0A-CE8CC80F4464}"/>
  </w:font>
  <w:font w:name="Georgia">
    <w:panose1 w:val="02040502050405020303"/>
    <w:charset w:val="00"/>
    <w:family w:val="roman"/>
    <w:pitch w:val="variable"/>
    <w:sig w:usb0="00000287" w:usb1="00000000" w:usb2="00000000" w:usb3="00000000" w:csb0="0000009F" w:csb1="00000000"/>
    <w:embedItalic r:id="rId7" w:fontKey="{C5668616-5742-4700-B4EE-18974454F0AB}"/>
  </w:font>
  <w:font w:name="Verdana">
    <w:panose1 w:val="020B0604030504040204"/>
    <w:charset w:val="00"/>
    <w:family w:val="swiss"/>
    <w:pitch w:val="variable"/>
    <w:sig w:usb0="A00006FF" w:usb1="4000205B" w:usb2="00000010" w:usb3="00000000" w:csb0="0000019F" w:csb1="00000000"/>
    <w:embedBold r:id="rId8" w:fontKey="{EA5591C6-ACA9-4946-940E-FF289F33D028}"/>
  </w:font>
  <w:font w:name="Nunito Black">
    <w:charset w:val="00"/>
    <w:family w:val="auto"/>
    <w:pitch w:val="variable"/>
    <w:sig w:usb0="A00002FF" w:usb1="5000204B" w:usb2="00000000" w:usb3="00000000" w:csb0="00000197" w:csb1="00000000"/>
    <w:embedRegular r:id="rId9" w:fontKey="{F9123607-5C5D-4C59-9FD5-C1A9E398B19C}"/>
    <w:embedBold r:id="rId10" w:fontKey="{457052AE-E8AD-4CEF-B269-A55817B2ED0E}"/>
  </w:font>
  <w:font w:name="Nunito">
    <w:charset w:val="00"/>
    <w:family w:val="auto"/>
    <w:pitch w:val="variable"/>
    <w:sig w:usb0="A00002FF" w:usb1="5000204B" w:usb2="00000000" w:usb3="00000000" w:csb0="00000197" w:csb1="00000000"/>
    <w:embedRegular r:id="rId11" w:fontKey="{55626958-D586-4914-A25B-41F896981B77}"/>
    <w:embedItalic r:id="rId12" w:fontKey="{ABF032D7-CC0E-4836-9863-AE23B519C495}"/>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4FEE" w:rsidRDefault="00554FEE">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554FEE" w:rsidRDefault="001000CA">
    <w:pPr>
      <w:pBdr>
        <w:top w:val="nil"/>
        <w:left w:val="nil"/>
        <w:bottom w:val="nil"/>
        <w:right w:val="nil"/>
        <w:between w:val="nil"/>
      </w:pBdr>
      <w:tabs>
        <w:tab w:val="center" w:pos="4419"/>
        <w:tab w:val="right" w:pos="8838"/>
      </w:tabs>
      <w:spacing w:after="0" w:line="240" w:lineRule="auto"/>
      <w:jc w:val="right"/>
      <w:rPr>
        <w:color w:val="000000"/>
        <w:sz w:val="18"/>
        <w:szCs w:val="18"/>
      </w:rPr>
    </w:pPr>
    <w:r>
      <w:rPr>
        <w:rFonts w:ascii="Arial" w:eastAsia="Arial" w:hAnsi="Arial" w:cs="Arial"/>
        <w:sz w:val="18"/>
        <w:szCs w:val="18"/>
      </w:rPr>
      <w:t xml:space="preserve">Página </w:t>
    </w:r>
    <w:r>
      <w:rPr>
        <w:rFonts w:ascii="Arial" w:eastAsia="Arial" w:hAnsi="Arial" w:cs="Arial"/>
        <w:sz w:val="18"/>
        <w:szCs w:val="18"/>
      </w:rPr>
      <w:fldChar w:fldCharType="begin"/>
    </w:r>
    <w:r>
      <w:rPr>
        <w:rFonts w:ascii="Arial" w:eastAsia="Arial" w:hAnsi="Arial" w:cs="Arial"/>
        <w:sz w:val="18"/>
        <w:szCs w:val="18"/>
      </w:rPr>
      <w:instrText>PAGE</w:instrText>
    </w:r>
    <w:r>
      <w:rPr>
        <w:rFonts w:ascii="Arial" w:eastAsia="Arial" w:hAnsi="Arial" w:cs="Arial"/>
        <w:sz w:val="18"/>
        <w:szCs w:val="18"/>
      </w:rPr>
      <w:fldChar w:fldCharType="separate"/>
    </w:r>
    <w:r w:rsidR="00E65985">
      <w:rPr>
        <w:rFonts w:ascii="Arial" w:eastAsia="Arial" w:hAnsi="Arial" w:cs="Arial"/>
        <w:noProof/>
        <w:sz w:val="18"/>
        <w:szCs w:val="18"/>
      </w:rPr>
      <w:t>22</w:t>
    </w:r>
    <w:r>
      <w:rPr>
        <w:rFonts w:ascii="Arial" w:eastAsia="Arial" w:hAnsi="Arial" w:cs="Arial"/>
        <w:sz w:val="18"/>
        <w:szCs w:val="18"/>
      </w:rPr>
      <w:fldChar w:fldCharType="end"/>
    </w:r>
    <w:r>
      <w:rPr>
        <w:rFonts w:ascii="Arial" w:eastAsia="Arial" w:hAnsi="Arial" w:cs="Arial"/>
        <w:sz w:val="18"/>
        <w:szCs w:val="18"/>
      </w:rPr>
      <w:t xml:space="preserve"> de </w:t>
    </w:r>
    <w:r>
      <w:rPr>
        <w:rFonts w:ascii="Arial" w:eastAsia="Arial" w:hAnsi="Arial" w:cs="Arial"/>
        <w:sz w:val="18"/>
        <w:szCs w:val="18"/>
      </w:rPr>
      <w:fldChar w:fldCharType="begin"/>
    </w:r>
    <w:r>
      <w:rPr>
        <w:rFonts w:ascii="Arial" w:eastAsia="Arial" w:hAnsi="Arial" w:cs="Arial"/>
        <w:sz w:val="18"/>
        <w:szCs w:val="18"/>
      </w:rPr>
      <w:instrText>NUMPAGES</w:instrText>
    </w:r>
    <w:r>
      <w:rPr>
        <w:rFonts w:ascii="Arial" w:eastAsia="Arial" w:hAnsi="Arial" w:cs="Arial"/>
        <w:sz w:val="18"/>
        <w:szCs w:val="18"/>
      </w:rPr>
      <w:fldChar w:fldCharType="separate"/>
    </w:r>
    <w:r w:rsidR="00E65985">
      <w:rPr>
        <w:rFonts w:ascii="Arial" w:eastAsia="Arial" w:hAnsi="Arial" w:cs="Arial"/>
        <w:noProof/>
        <w:sz w:val="18"/>
        <w:szCs w:val="18"/>
      </w:rPr>
      <w:t>23</w:t>
    </w:r>
    <w:r>
      <w:rPr>
        <w:rFonts w:ascii="Arial" w:eastAsia="Arial" w:hAnsi="Arial"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7725" w:rsidRDefault="00D47725">
      <w:pPr>
        <w:spacing w:after="0" w:line="240" w:lineRule="auto"/>
      </w:pPr>
      <w:r>
        <w:separator/>
      </w:r>
    </w:p>
  </w:footnote>
  <w:footnote w:type="continuationSeparator" w:id="0">
    <w:p w:rsidR="00D47725" w:rsidRDefault="00D477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4FEE" w:rsidRDefault="00554FEE">
    <w:pPr>
      <w:widowControl w:val="0"/>
      <w:pBdr>
        <w:top w:val="nil"/>
        <w:left w:val="nil"/>
        <w:bottom w:val="nil"/>
        <w:right w:val="nil"/>
        <w:between w:val="nil"/>
      </w:pBdr>
      <w:spacing w:after="0" w:line="276" w:lineRule="auto"/>
      <w:rPr>
        <w:i/>
        <w:iCs/>
        <w:sz w:val="24"/>
        <w:szCs w:val="24"/>
        <w:highlight w:val="lightGray"/>
      </w:rPr>
    </w:pPr>
  </w:p>
  <w:tbl>
    <w:tblPr>
      <w:tblStyle w:val="aff"/>
      <w:tblW w:w="1076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20"/>
      <w:gridCol w:w="5746"/>
      <w:gridCol w:w="1276"/>
      <w:gridCol w:w="2121"/>
    </w:tblGrid>
    <w:tr w:rsidR="00554FEE">
      <w:trPr>
        <w:cantSplit/>
        <w:trHeight w:val="264"/>
        <w:jc w:val="center"/>
      </w:trPr>
      <w:tc>
        <w:tcPr>
          <w:tcW w:w="1620" w:type="dxa"/>
          <w:vMerge w:val="restart"/>
          <w:vAlign w:val="center"/>
        </w:tcPr>
        <w:p w:rsidR="00554FEE" w:rsidRDefault="001000CA" w:rsidP="003C1075">
          <w:pPr>
            <w:pBdr>
              <w:top w:val="nil"/>
              <w:left w:val="nil"/>
              <w:bottom w:val="nil"/>
              <w:right w:val="nil"/>
              <w:between w:val="nil"/>
            </w:pBdr>
            <w:spacing w:after="0" w:line="240" w:lineRule="auto"/>
            <w:ind w:right="360"/>
            <w:rPr>
              <w:rFonts w:ascii="Arial" w:eastAsia="Arial" w:hAnsi="Arial" w:cs="Arial"/>
            </w:rPr>
          </w:pPr>
          <w:r>
            <w:rPr>
              <w:noProof/>
              <w:lang w:val="es-CO"/>
            </w:rPr>
            <w:drawing>
              <wp:anchor distT="0" distB="0" distL="114300" distR="114300" simplePos="0" relativeHeight="251655168" behindDoc="0" locked="0" layoutInCell="1" hidden="0" allowOverlap="1">
                <wp:simplePos x="0" y="0"/>
                <wp:positionH relativeFrom="column">
                  <wp:posOffset>104141</wp:posOffset>
                </wp:positionH>
                <wp:positionV relativeFrom="paragraph">
                  <wp:posOffset>2540</wp:posOffset>
                </wp:positionV>
                <wp:extent cx="723900" cy="781050"/>
                <wp:effectExtent l="0" t="0" r="0" b="0"/>
                <wp:wrapNone/>
                <wp:docPr id="70715215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23900" cy="781050"/>
                        </a:xfrm>
                        <a:prstGeom prst="rect">
                          <a:avLst/>
                        </a:prstGeom>
                        <a:ln/>
                      </pic:spPr>
                    </pic:pic>
                  </a:graphicData>
                </a:graphic>
              </wp:anchor>
            </w:drawing>
          </w:r>
        </w:p>
      </w:tc>
      <w:tc>
        <w:tcPr>
          <w:tcW w:w="5746" w:type="dxa"/>
          <w:vMerge w:val="restart"/>
          <w:vAlign w:val="center"/>
        </w:tcPr>
        <w:p w:rsidR="00554FEE" w:rsidRDefault="001000CA" w:rsidP="003C1075">
          <w:pPr>
            <w:pBdr>
              <w:top w:val="nil"/>
              <w:left w:val="nil"/>
              <w:bottom w:val="nil"/>
              <w:right w:val="nil"/>
              <w:between w:val="nil"/>
            </w:pBdr>
            <w:spacing w:after="0" w:line="240" w:lineRule="auto"/>
            <w:ind w:right="77" w:hanging="2"/>
            <w:jc w:val="center"/>
            <w:rPr>
              <w:rFonts w:ascii="Arial" w:eastAsia="Arial" w:hAnsi="Arial" w:cs="Arial"/>
            </w:rPr>
          </w:pPr>
          <w:r>
            <w:rPr>
              <w:rFonts w:ascii="Arial" w:eastAsia="Arial" w:hAnsi="Arial" w:cs="Arial"/>
              <w:b/>
              <w:bCs/>
            </w:rPr>
            <w:t>PROCEDIMIENTO GESTIÓN DE PLANEACIÓN INSTITUCIONAL</w:t>
          </w:r>
        </w:p>
      </w:tc>
      <w:tc>
        <w:tcPr>
          <w:tcW w:w="1276" w:type="dxa"/>
          <w:vAlign w:val="center"/>
        </w:tcPr>
        <w:p w:rsidR="00554FEE" w:rsidRDefault="001000CA" w:rsidP="003C1075">
          <w:pPr>
            <w:pBdr>
              <w:top w:val="nil"/>
              <w:left w:val="nil"/>
              <w:bottom w:val="nil"/>
              <w:right w:val="nil"/>
              <w:between w:val="nil"/>
            </w:pBdr>
            <w:tabs>
              <w:tab w:val="left" w:pos="2192"/>
            </w:tabs>
            <w:spacing w:after="0" w:line="240" w:lineRule="auto"/>
            <w:ind w:hanging="2"/>
            <w:rPr>
              <w:rFonts w:ascii="Arial" w:eastAsia="Arial" w:hAnsi="Arial" w:cs="Arial"/>
            </w:rPr>
          </w:pPr>
          <w:r>
            <w:rPr>
              <w:rFonts w:ascii="Arial" w:eastAsia="Arial" w:hAnsi="Arial" w:cs="Arial"/>
              <w:b/>
              <w:bCs/>
            </w:rPr>
            <w:t>CÓDIGO:</w:t>
          </w:r>
        </w:p>
      </w:tc>
      <w:tc>
        <w:tcPr>
          <w:tcW w:w="2121" w:type="dxa"/>
          <w:vAlign w:val="center"/>
        </w:tcPr>
        <w:p w:rsidR="00554FEE" w:rsidRDefault="001000CA" w:rsidP="003C1075">
          <w:pPr>
            <w:pBdr>
              <w:top w:val="nil"/>
              <w:left w:val="nil"/>
              <w:bottom w:val="nil"/>
              <w:right w:val="nil"/>
              <w:between w:val="nil"/>
            </w:pBdr>
            <w:tabs>
              <w:tab w:val="left" w:pos="2192"/>
            </w:tabs>
            <w:spacing w:after="0" w:line="240" w:lineRule="auto"/>
            <w:ind w:hanging="2"/>
            <w:jc w:val="center"/>
            <w:rPr>
              <w:rFonts w:ascii="Arial" w:eastAsia="Arial" w:hAnsi="Arial" w:cs="Arial"/>
              <w:b/>
              <w:bCs/>
            </w:rPr>
          </w:pPr>
          <w:r>
            <w:rPr>
              <w:rFonts w:ascii="Arial" w:eastAsia="Arial" w:hAnsi="Arial" w:cs="Arial"/>
              <w:b/>
              <w:bCs/>
            </w:rPr>
            <w:t>DEP-PR-02-F0-05</w:t>
          </w:r>
        </w:p>
      </w:tc>
    </w:tr>
    <w:tr w:rsidR="00554FEE">
      <w:trPr>
        <w:cantSplit/>
        <w:trHeight w:val="197"/>
        <w:jc w:val="center"/>
      </w:trPr>
      <w:tc>
        <w:tcPr>
          <w:tcW w:w="1620" w:type="dxa"/>
          <w:vMerge/>
          <w:vAlign w:val="center"/>
        </w:tcPr>
        <w:p w:rsidR="00554FEE" w:rsidRDefault="00554FEE" w:rsidP="003C1075">
          <w:pPr>
            <w:widowControl w:val="0"/>
            <w:pBdr>
              <w:top w:val="nil"/>
              <w:left w:val="nil"/>
              <w:bottom w:val="nil"/>
              <w:right w:val="nil"/>
              <w:between w:val="nil"/>
            </w:pBdr>
            <w:spacing w:after="0" w:line="276" w:lineRule="auto"/>
            <w:rPr>
              <w:rFonts w:ascii="Arial" w:eastAsia="Arial" w:hAnsi="Arial" w:cs="Arial"/>
              <w:b/>
              <w:bCs/>
            </w:rPr>
          </w:pPr>
        </w:p>
      </w:tc>
      <w:tc>
        <w:tcPr>
          <w:tcW w:w="5746" w:type="dxa"/>
          <w:vMerge/>
          <w:vAlign w:val="center"/>
        </w:tcPr>
        <w:p w:rsidR="00554FEE" w:rsidRDefault="00554FEE" w:rsidP="003C1075">
          <w:pPr>
            <w:widowControl w:val="0"/>
            <w:pBdr>
              <w:top w:val="nil"/>
              <w:left w:val="nil"/>
              <w:bottom w:val="nil"/>
              <w:right w:val="nil"/>
              <w:between w:val="nil"/>
            </w:pBdr>
            <w:spacing w:after="0" w:line="276" w:lineRule="auto"/>
            <w:rPr>
              <w:rFonts w:ascii="Arial" w:eastAsia="Arial" w:hAnsi="Arial" w:cs="Arial"/>
              <w:b/>
              <w:bCs/>
            </w:rPr>
          </w:pPr>
        </w:p>
      </w:tc>
      <w:tc>
        <w:tcPr>
          <w:tcW w:w="1276" w:type="dxa"/>
          <w:vAlign w:val="center"/>
        </w:tcPr>
        <w:p w:rsidR="00554FEE" w:rsidRDefault="001000CA" w:rsidP="003C1075">
          <w:pPr>
            <w:pBdr>
              <w:top w:val="nil"/>
              <w:left w:val="nil"/>
              <w:bottom w:val="nil"/>
              <w:right w:val="nil"/>
              <w:between w:val="nil"/>
            </w:pBdr>
            <w:tabs>
              <w:tab w:val="left" w:pos="2192"/>
            </w:tabs>
            <w:spacing w:after="0" w:line="240" w:lineRule="auto"/>
            <w:ind w:hanging="2"/>
            <w:rPr>
              <w:rFonts w:ascii="Arial" w:eastAsia="Arial" w:hAnsi="Arial" w:cs="Arial"/>
            </w:rPr>
          </w:pPr>
          <w:r>
            <w:rPr>
              <w:rFonts w:ascii="Arial" w:eastAsia="Arial" w:hAnsi="Arial" w:cs="Arial"/>
              <w:b/>
              <w:bCs/>
            </w:rPr>
            <w:t>VERSIÓN:</w:t>
          </w:r>
        </w:p>
      </w:tc>
      <w:tc>
        <w:tcPr>
          <w:tcW w:w="2121" w:type="dxa"/>
          <w:vAlign w:val="center"/>
        </w:tcPr>
        <w:p w:rsidR="00554FEE" w:rsidRDefault="001000CA" w:rsidP="003C1075">
          <w:pPr>
            <w:pBdr>
              <w:top w:val="nil"/>
              <w:left w:val="nil"/>
              <w:bottom w:val="nil"/>
              <w:right w:val="nil"/>
              <w:between w:val="nil"/>
            </w:pBdr>
            <w:tabs>
              <w:tab w:val="left" w:pos="2192"/>
            </w:tabs>
            <w:spacing w:after="0" w:line="240" w:lineRule="auto"/>
            <w:ind w:hanging="2"/>
            <w:jc w:val="center"/>
            <w:rPr>
              <w:rFonts w:ascii="Arial" w:eastAsia="Arial" w:hAnsi="Arial" w:cs="Arial"/>
              <w:b/>
              <w:bCs/>
            </w:rPr>
          </w:pPr>
          <w:r>
            <w:rPr>
              <w:rFonts w:ascii="Arial" w:eastAsia="Arial" w:hAnsi="Arial" w:cs="Arial"/>
              <w:b/>
              <w:bCs/>
            </w:rPr>
            <w:t>01</w:t>
          </w:r>
        </w:p>
      </w:tc>
    </w:tr>
    <w:tr w:rsidR="00554FEE">
      <w:trPr>
        <w:cantSplit/>
        <w:trHeight w:val="197"/>
        <w:jc w:val="center"/>
      </w:trPr>
      <w:tc>
        <w:tcPr>
          <w:tcW w:w="1620" w:type="dxa"/>
          <w:vMerge/>
          <w:vAlign w:val="center"/>
        </w:tcPr>
        <w:p w:rsidR="00554FEE" w:rsidRDefault="00554FEE" w:rsidP="003C1075">
          <w:pPr>
            <w:widowControl w:val="0"/>
            <w:pBdr>
              <w:top w:val="nil"/>
              <w:left w:val="nil"/>
              <w:bottom w:val="nil"/>
              <w:right w:val="nil"/>
              <w:between w:val="nil"/>
            </w:pBdr>
            <w:spacing w:after="0" w:line="276" w:lineRule="auto"/>
            <w:rPr>
              <w:rFonts w:ascii="Arial" w:eastAsia="Arial" w:hAnsi="Arial" w:cs="Arial"/>
              <w:b/>
              <w:bCs/>
            </w:rPr>
          </w:pPr>
        </w:p>
      </w:tc>
      <w:tc>
        <w:tcPr>
          <w:tcW w:w="5746" w:type="dxa"/>
          <w:vAlign w:val="center"/>
        </w:tcPr>
        <w:p w:rsidR="00554FEE" w:rsidRDefault="001000CA" w:rsidP="003C1075">
          <w:pPr>
            <w:pBdr>
              <w:top w:val="nil"/>
              <w:left w:val="nil"/>
              <w:bottom w:val="nil"/>
              <w:right w:val="nil"/>
              <w:between w:val="nil"/>
            </w:pBdr>
            <w:spacing w:after="0" w:line="240" w:lineRule="auto"/>
            <w:ind w:right="77" w:hanging="2"/>
            <w:jc w:val="center"/>
            <w:rPr>
              <w:rFonts w:ascii="Arial" w:eastAsia="Arial" w:hAnsi="Arial" w:cs="Arial"/>
              <w:b/>
              <w:bCs/>
            </w:rPr>
          </w:pPr>
          <w:r>
            <w:rPr>
              <w:rFonts w:ascii="Arial" w:eastAsia="Arial" w:hAnsi="Arial" w:cs="Arial"/>
              <w:b/>
              <w:bCs/>
            </w:rPr>
            <w:t>PLANES INSTITUCIONALES</w:t>
          </w:r>
        </w:p>
        <w:p w:rsidR="003C1075" w:rsidRDefault="003C1075" w:rsidP="003C1075">
          <w:pPr>
            <w:pBdr>
              <w:top w:val="nil"/>
              <w:left w:val="nil"/>
              <w:bottom w:val="nil"/>
              <w:right w:val="nil"/>
              <w:between w:val="nil"/>
            </w:pBdr>
            <w:spacing w:after="0" w:line="240" w:lineRule="auto"/>
            <w:ind w:right="77" w:hanging="2"/>
            <w:jc w:val="center"/>
            <w:rPr>
              <w:rFonts w:ascii="Arial" w:eastAsia="Arial" w:hAnsi="Arial" w:cs="Arial"/>
              <w:b/>
              <w:bCs/>
            </w:rPr>
          </w:pPr>
          <w:r w:rsidRPr="003C1075">
            <w:rPr>
              <w:rFonts w:ascii="Arial" w:eastAsia="Arial" w:hAnsi="Arial" w:cs="Arial"/>
              <w:b/>
              <w:bCs/>
            </w:rPr>
            <w:t>PLAN INSTITUCIONAL DE GESTIÓN AMBIENTAL</w:t>
          </w:r>
        </w:p>
      </w:tc>
      <w:tc>
        <w:tcPr>
          <w:tcW w:w="1276" w:type="dxa"/>
          <w:vAlign w:val="center"/>
        </w:tcPr>
        <w:p w:rsidR="00554FEE" w:rsidRDefault="001000CA" w:rsidP="003C1075">
          <w:pPr>
            <w:pBdr>
              <w:top w:val="nil"/>
              <w:left w:val="nil"/>
              <w:bottom w:val="nil"/>
              <w:right w:val="nil"/>
              <w:between w:val="nil"/>
            </w:pBdr>
            <w:tabs>
              <w:tab w:val="left" w:pos="2192"/>
            </w:tabs>
            <w:spacing w:after="0" w:line="240" w:lineRule="auto"/>
            <w:ind w:hanging="2"/>
            <w:rPr>
              <w:rFonts w:ascii="Arial" w:eastAsia="Arial" w:hAnsi="Arial" w:cs="Arial"/>
            </w:rPr>
          </w:pPr>
          <w:r>
            <w:rPr>
              <w:rFonts w:ascii="Arial" w:eastAsia="Arial" w:hAnsi="Arial" w:cs="Arial"/>
              <w:b/>
              <w:bCs/>
            </w:rPr>
            <w:t>FECHA:</w:t>
          </w:r>
        </w:p>
      </w:tc>
      <w:tc>
        <w:tcPr>
          <w:tcW w:w="2121" w:type="dxa"/>
          <w:vAlign w:val="center"/>
        </w:tcPr>
        <w:p w:rsidR="00554FEE" w:rsidRDefault="001000CA" w:rsidP="003C1075">
          <w:pPr>
            <w:tabs>
              <w:tab w:val="center" w:pos="4419"/>
              <w:tab w:val="right" w:pos="8838"/>
            </w:tabs>
            <w:spacing w:after="0"/>
            <w:ind w:hanging="2"/>
            <w:jc w:val="center"/>
            <w:rPr>
              <w:rFonts w:ascii="Arial" w:eastAsia="Arial" w:hAnsi="Arial" w:cs="Arial"/>
              <w:b/>
              <w:bCs/>
            </w:rPr>
          </w:pPr>
          <w:r>
            <w:rPr>
              <w:rFonts w:ascii="Arial" w:eastAsia="Arial" w:hAnsi="Arial" w:cs="Arial"/>
              <w:b/>
              <w:bCs/>
            </w:rPr>
            <w:t>11-12-2025</w:t>
          </w:r>
        </w:p>
      </w:tc>
    </w:tr>
  </w:tbl>
  <w:p w:rsidR="00554FEE" w:rsidRDefault="00D47725">
    <w:pPr>
      <w:pBdr>
        <w:top w:val="nil"/>
        <w:left w:val="nil"/>
        <w:bottom w:val="nil"/>
        <w:right w:val="nil"/>
        <w:between w:val="nil"/>
      </w:pBdr>
      <w:spacing w:line="240" w:lineRule="auto"/>
      <w:ind w:left="-993"/>
      <w:rPr>
        <w:rFonts w:ascii="Arial" w:eastAsia="Arial" w:hAnsi="Arial" w:cs="Arial"/>
        <w:sz w:val="20"/>
        <w:szCs w:val="20"/>
      </w:rPr>
    </w:pPr>
    <w:r>
      <w:rPr>
        <w:rFonts w:ascii="Arial" w:eastAsia="Arial" w:hAnsi="Arial" w:cs="Arial"/>
        <w:sz w:val="20"/>
        <w:szCs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left:0;text-align:left;margin-left:0;margin-top:0;width:551.9pt;height:97.4pt;rotation:315;z-index:-251656192;visibility:visible;mso-position-horizontal:center;mso-position-horizontal-relative:margin;mso-position-vertical:center;mso-position-vertical-relative:margin" o:allowincell="f" fillcolor="silver" stroked="f">
          <v:fill opacity=".5"/>
          <v:textpath style="font-family:&quot;Calibri&quot;;font-size:1pt" string="COPIA NO CONTROLADA"/>
          <w10:wrap anchorx="margin" anchory="margin"/>
        </v:shape>
      </w:pict>
    </w:r>
    <w:r w:rsidR="001000CA">
      <w:rPr>
        <w:rFonts w:ascii="Arial" w:eastAsia="Arial" w:hAnsi="Arial" w:cs="Arial"/>
        <w:sz w:val="20"/>
        <w:szCs w:val="20"/>
      </w:rPr>
      <w:t xml:space="preserve">    </w:t>
    </w:r>
    <w:r w:rsidR="001000CA">
      <w:rPr>
        <w:rFonts w:ascii="Arial" w:eastAsia="Arial" w:hAnsi="Arial" w:cs="Arial"/>
        <w:sz w:val="20"/>
        <w:szCs w:val="20"/>
      </w:rPr>
      <w:tab/>
    </w:r>
    <w:r w:rsidR="001000CA">
      <w:rPr>
        <w:rFonts w:ascii="Arial" w:eastAsia="Arial" w:hAnsi="Arial" w:cs="Arial"/>
        <w:sz w:val="20"/>
        <w:szCs w:val="20"/>
      </w:rPr>
      <w:tab/>
    </w:r>
    <w:r w:rsidR="001000CA">
      <w:rPr>
        <w:rFonts w:ascii="Arial" w:eastAsia="Arial" w:hAnsi="Arial" w:cs="Arial"/>
        <w:sz w:val="20"/>
        <w:szCs w:val="20"/>
      </w:rPr>
      <w:tab/>
      <w:t xml:space="preserve">     Documento de Carácter</w:t>
    </w:r>
    <w:r w:rsidR="001000CA">
      <w:rPr>
        <w:rFonts w:ascii="Arial" w:eastAsia="Arial" w:hAnsi="Arial" w:cs="Arial"/>
        <w:sz w:val="20"/>
        <w:szCs w:val="20"/>
      </w:rPr>
      <w:tab/>
      <w:t xml:space="preserve">        Público</w:t>
    </w:r>
    <w:r w:rsidR="001000CA">
      <w:rPr>
        <w:rFonts w:ascii="Arial" w:eastAsia="Arial" w:hAnsi="Arial" w:cs="Arial"/>
        <w:sz w:val="20"/>
        <w:szCs w:val="20"/>
      </w:rPr>
      <w:tab/>
      <w:t xml:space="preserve"> </w:t>
    </w:r>
    <w:r w:rsidR="001000CA">
      <w:rPr>
        <w:rFonts w:ascii="Arial" w:eastAsia="Arial" w:hAnsi="Arial" w:cs="Arial"/>
        <w:sz w:val="20"/>
        <w:szCs w:val="20"/>
      </w:rPr>
      <w:tab/>
      <w:t xml:space="preserve">Reservado </w:t>
    </w:r>
    <w:r w:rsidR="001000CA">
      <w:rPr>
        <w:rFonts w:ascii="Arial" w:eastAsia="Arial" w:hAnsi="Arial" w:cs="Arial"/>
        <w:sz w:val="20"/>
        <w:szCs w:val="20"/>
      </w:rPr>
      <w:tab/>
    </w:r>
    <w:r w:rsidR="001000CA">
      <w:rPr>
        <w:rFonts w:ascii="Arial" w:eastAsia="Arial" w:hAnsi="Arial" w:cs="Arial"/>
        <w:sz w:val="20"/>
        <w:szCs w:val="20"/>
      </w:rPr>
      <w:tab/>
      <w:t xml:space="preserve">   Clasificado</w:t>
    </w:r>
    <w:r w:rsidR="001000CA">
      <w:rPr>
        <w:noProof/>
        <w:lang w:val="es-CO"/>
      </w:rPr>
      <mc:AlternateContent>
        <mc:Choice Requires="wpg">
          <w:drawing>
            <wp:anchor distT="0" distB="0" distL="114300" distR="114300" simplePos="0" relativeHeight="251656192" behindDoc="0" locked="0" layoutInCell="1" hidden="0" allowOverlap="1">
              <wp:simplePos x="0" y="0"/>
              <wp:positionH relativeFrom="column">
                <wp:posOffset>3409950</wp:posOffset>
              </wp:positionH>
              <wp:positionV relativeFrom="paragraph">
                <wp:posOffset>19050</wp:posOffset>
              </wp:positionV>
              <wp:extent cx="140970" cy="132715"/>
              <wp:effectExtent l="0" t="0" r="0" b="0"/>
              <wp:wrapNone/>
              <wp:docPr id="707152146" name="Rectángulo 707152146"/>
              <wp:cNvGraphicFramePr/>
              <a:graphic xmlns:a="http://schemas.openxmlformats.org/drawingml/2006/main">
                <a:graphicData uri="http://schemas.microsoft.com/office/word/2010/wordprocessingShape">
                  <wps:wsp>
                    <wps:cNvSpPr/>
                    <wps:spPr>
                      <a:xfrm>
                        <a:off x="5280278" y="3718405"/>
                        <a:ext cx="131445" cy="123190"/>
                      </a:xfrm>
                      <a:prstGeom prst="rect">
                        <a:avLst/>
                      </a:prstGeom>
                      <a:noFill/>
                      <a:ln w="9525" cap="flat" cmpd="sng">
                        <a:solidFill>
                          <a:schemeClr val="dk1"/>
                        </a:solidFill>
                        <a:prstDash val="solid"/>
                        <a:miter lim="800000"/>
                        <a:headEnd type="none" w="sm" len="sm"/>
                        <a:tailEnd type="none" w="sm" len="sm"/>
                      </a:ln>
                    </wps:spPr>
                    <wps:txbx>
                      <w:txbxContent>
                        <w:p w:rsidR="00554FEE" w:rsidRDefault="00554FE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3409950</wp:posOffset>
              </wp:positionH>
              <wp:positionV relativeFrom="paragraph">
                <wp:posOffset>19050</wp:posOffset>
              </wp:positionV>
              <wp:extent cx="140970" cy="132715"/>
              <wp:effectExtent b="0" l="0" r="0" t="0"/>
              <wp:wrapNone/>
              <wp:docPr id="707152146" name="image12.png"/>
              <a:graphic>
                <a:graphicData uri="http://schemas.openxmlformats.org/drawingml/2006/picture">
                  <pic:pic>
                    <pic:nvPicPr>
                      <pic:cNvPr id="0" name="image12.png"/>
                      <pic:cNvPicPr preferRelativeResize="0"/>
                    </pic:nvPicPr>
                    <pic:blipFill>
                      <a:blip r:embed="rId2"/>
                      <a:srcRect/>
                      <a:stretch>
                        <a:fillRect/>
                      </a:stretch>
                    </pic:blipFill>
                    <pic:spPr>
                      <a:xfrm>
                        <a:off x="0" y="0"/>
                        <a:ext cx="140970" cy="132715"/>
                      </a:xfrm>
                      <a:prstGeom prst="rect"/>
                      <a:ln/>
                    </pic:spPr>
                  </pic:pic>
                </a:graphicData>
              </a:graphic>
            </wp:anchor>
          </w:drawing>
        </mc:Fallback>
      </mc:AlternateContent>
    </w:r>
    <w:r w:rsidR="001000CA">
      <w:rPr>
        <w:noProof/>
        <w:lang w:val="es-CO"/>
      </w:rPr>
      <mc:AlternateContent>
        <mc:Choice Requires="wpg">
          <w:drawing>
            <wp:anchor distT="0" distB="0" distL="114300" distR="114300" simplePos="0" relativeHeight="251657216" behindDoc="0" locked="0" layoutInCell="1" hidden="0" allowOverlap="1">
              <wp:simplePos x="0" y="0"/>
              <wp:positionH relativeFrom="column">
                <wp:posOffset>4857750</wp:posOffset>
              </wp:positionH>
              <wp:positionV relativeFrom="paragraph">
                <wp:posOffset>19050</wp:posOffset>
              </wp:positionV>
              <wp:extent cx="140970" cy="132715"/>
              <wp:effectExtent l="0" t="0" r="0" b="0"/>
              <wp:wrapNone/>
              <wp:docPr id="707152148" name="Rectángulo 707152148"/>
              <wp:cNvGraphicFramePr/>
              <a:graphic xmlns:a="http://schemas.openxmlformats.org/drawingml/2006/main">
                <a:graphicData uri="http://schemas.microsoft.com/office/word/2010/wordprocessingShape">
                  <wps:wsp>
                    <wps:cNvSpPr/>
                    <wps:spPr>
                      <a:xfrm>
                        <a:off x="5280278" y="3718405"/>
                        <a:ext cx="131445" cy="123190"/>
                      </a:xfrm>
                      <a:prstGeom prst="rect">
                        <a:avLst/>
                      </a:prstGeom>
                      <a:noFill/>
                      <a:ln w="9525" cap="flat" cmpd="sng">
                        <a:solidFill>
                          <a:schemeClr val="dk1"/>
                        </a:solidFill>
                        <a:prstDash val="solid"/>
                        <a:miter lim="800000"/>
                        <a:headEnd type="none" w="sm" len="sm"/>
                        <a:tailEnd type="none" w="sm" len="sm"/>
                      </a:ln>
                    </wps:spPr>
                    <wps:txbx>
                      <w:txbxContent>
                        <w:p w:rsidR="00554FEE" w:rsidRDefault="001000CA">
                          <w:pPr>
                            <w:spacing w:line="258" w:lineRule="auto"/>
                            <w:ind w:hanging="2"/>
                            <w:jc w:val="center"/>
                            <w:textDirection w:val="btLr"/>
                          </w:pPr>
                          <w:r>
                            <w:rPr>
                              <w:color w:val="000000"/>
                            </w:rPr>
                            <w:t xml:space="preserve"> </w:t>
                          </w:r>
                        </w:p>
                      </w:txbxContent>
                    </wps:txbx>
                    <wps:bodyPr spcFirstLastPara="1" wrap="square" lIns="91425" tIns="45700" rIns="91425" bIns="45700"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4857750</wp:posOffset>
              </wp:positionH>
              <wp:positionV relativeFrom="paragraph">
                <wp:posOffset>19050</wp:posOffset>
              </wp:positionV>
              <wp:extent cx="140970" cy="132715"/>
              <wp:effectExtent b="0" l="0" r="0" t="0"/>
              <wp:wrapNone/>
              <wp:docPr id="707152148" name="image14.png"/>
              <a:graphic>
                <a:graphicData uri="http://schemas.openxmlformats.org/drawingml/2006/picture">
                  <pic:pic>
                    <pic:nvPicPr>
                      <pic:cNvPr id="0" name="image14.png"/>
                      <pic:cNvPicPr preferRelativeResize="0"/>
                    </pic:nvPicPr>
                    <pic:blipFill>
                      <a:blip r:embed="rId2"/>
                      <a:srcRect/>
                      <a:stretch>
                        <a:fillRect/>
                      </a:stretch>
                    </pic:blipFill>
                    <pic:spPr>
                      <a:xfrm>
                        <a:off x="0" y="0"/>
                        <a:ext cx="140970" cy="132715"/>
                      </a:xfrm>
                      <a:prstGeom prst="rect"/>
                      <a:ln/>
                    </pic:spPr>
                  </pic:pic>
                </a:graphicData>
              </a:graphic>
            </wp:anchor>
          </w:drawing>
        </mc:Fallback>
      </mc:AlternateContent>
    </w:r>
    <w:r w:rsidR="001000CA">
      <w:rPr>
        <w:noProof/>
        <w:lang w:val="es-CO"/>
      </w:rPr>
      <mc:AlternateContent>
        <mc:Choice Requires="wpg">
          <w:drawing>
            <wp:anchor distT="0" distB="0" distL="114300" distR="114300" simplePos="0" relativeHeight="251658240" behindDoc="0" locked="0" layoutInCell="1" hidden="0" allowOverlap="1">
              <wp:simplePos x="0" y="0"/>
              <wp:positionH relativeFrom="column">
                <wp:posOffset>2125387</wp:posOffset>
              </wp:positionH>
              <wp:positionV relativeFrom="paragraph">
                <wp:posOffset>20969</wp:posOffset>
              </wp:positionV>
              <wp:extent cx="140970" cy="132715"/>
              <wp:effectExtent l="0" t="0" r="0" b="0"/>
              <wp:wrapNone/>
              <wp:docPr id="707152147" name="Rectángulo 707152147"/>
              <wp:cNvGraphicFramePr/>
              <a:graphic xmlns:a="http://schemas.openxmlformats.org/drawingml/2006/main">
                <a:graphicData uri="http://schemas.microsoft.com/office/word/2010/wordprocessingShape">
                  <wps:wsp>
                    <wps:cNvSpPr/>
                    <wps:spPr>
                      <a:xfrm>
                        <a:off x="5280278" y="3718405"/>
                        <a:ext cx="131445" cy="123190"/>
                      </a:xfrm>
                      <a:prstGeom prst="rect">
                        <a:avLst/>
                      </a:prstGeom>
                      <a:solidFill>
                        <a:schemeClr val="dk1"/>
                      </a:solidFill>
                      <a:ln w="9525" cap="flat" cmpd="sng">
                        <a:solidFill>
                          <a:schemeClr val="dk1"/>
                        </a:solidFill>
                        <a:prstDash val="solid"/>
                        <a:miter lim="800000"/>
                        <a:headEnd type="none" w="sm" len="sm"/>
                        <a:tailEnd type="none" w="sm" len="sm"/>
                      </a:ln>
                    </wps:spPr>
                    <wps:txbx>
                      <w:txbxContent>
                        <w:p w:rsidR="00554FEE" w:rsidRDefault="001000CA">
                          <w:pPr>
                            <w:spacing w:line="258" w:lineRule="auto"/>
                            <w:ind w:hanging="2"/>
                            <w:jc w:val="center"/>
                            <w:textDirection w:val="btLr"/>
                          </w:pPr>
                          <w:r>
                            <w:rPr>
                              <w:color w:val="000000"/>
                            </w:rPr>
                            <w:t>x</w:t>
                          </w:r>
                        </w:p>
                      </w:txbxContent>
                    </wps:txbx>
                    <wps:bodyPr spcFirstLastPara="1" wrap="square" lIns="91425" tIns="45700" rIns="91425" bIns="45700"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2125387</wp:posOffset>
              </wp:positionH>
              <wp:positionV relativeFrom="paragraph">
                <wp:posOffset>20969</wp:posOffset>
              </wp:positionV>
              <wp:extent cx="140970" cy="132715"/>
              <wp:effectExtent b="0" l="0" r="0" t="0"/>
              <wp:wrapNone/>
              <wp:docPr id="707152147" name="image13.png"/>
              <a:graphic>
                <a:graphicData uri="http://schemas.openxmlformats.org/drawingml/2006/picture">
                  <pic:pic>
                    <pic:nvPicPr>
                      <pic:cNvPr id="0" name="image13.png"/>
                      <pic:cNvPicPr preferRelativeResize="0"/>
                    </pic:nvPicPr>
                    <pic:blipFill>
                      <a:blip r:embed="rId2"/>
                      <a:srcRect/>
                      <a:stretch>
                        <a:fillRect/>
                      </a:stretch>
                    </pic:blipFill>
                    <pic:spPr>
                      <a:xfrm>
                        <a:off x="0" y="0"/>
                        <a:ext cx="140970" cy="132715"/>
                      </a:xfrm>
                      <a:prstGeom prst="rect"/>
                      <a:ln/>
                    </pic:spPr>
                  </pic:pic>
                </a:graphicData>
              </a:graphic>
            </wp:anchor>
          </w:drawing>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4FEE" w:rsidRDefault="001000CA">
    <w:pPr>
      <w:pBdr>
        <w:top w:val="nil"/>
        <w:left w:val="nil"/>
        <w:bottom w:val="nil"/>
        <w:right w:val="nil"/>
        <w:between w:val="nil"/>
      </w:pBdr>
      <w:tabs>
        <w:tab w:val="center" w:pos="4419"/>
        <w:tab w:val="right" w:pos="8838"/>
      </w:tabs>
      <w:spacing w:after="0" w:line="240" w:lineRule="auto"/>
      <w:rPr>
        <w:color w:val="000000"/>
      </w:rPr>
    </w:pPr>
    <w:r>
      <w:rPr>
        <w:noProof/>
        <w:lang w:val="es-CO"/>
      </w:rPr>
      <w:drawing>
        <wp:anchor distT="0" distB="0" distL="0" distR="0" simplePos="0" relativeHeight="251659264" behindDoc="1" locked="0" layoutInCell="1" hidden="0" allowOverlap="1">
          <wp:simplePos x="0" y="0"/>
          <wp:positionH relativeFrom="page">
            <wp:posOffset>-5708</wp:posOffset>
          </wp:positionH>
          <wp:positionV relativeFrom="page">
            <wp:posOffset>4445</wp:posOffset>
          </wp:positionV>
          <wp:extent cx="7806690" cy="10027285"/>
          <wp:effectExtent l="0" t="0" r="0" b="0"/>
          <wp:wrapNone/>
          <wp:docPr id="70715215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7806690" cy="1002728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9A6838"/>
    <w:multiLevelType w:val="multilevel"/>
    <w:tmpl w:val="F23C67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207A1A38"/>
    <w:multiLevelType w:val="multilevel"/>
    <w:tmpl w:val="1AFA4F0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20DB3567"/>
    <w:multiLevelType w:val="multilevel"/>
    <w:tmpl w:val="E932A1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28835140"/>
    <w:multiLevelType w:val="multilevel"/>
    <w:tmpl w:val="BB9AAF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2DA41EBF"/>
    <w:multiLevelType w:val="multilevel"/>
    <w:tmpl w:val="6972A1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2F020FBF"/>
    <w:multiLevelType w:val="multilevel"/>
    <w:tmpl w:val="6566852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2F256AF2"/>
    <w:multiLevelType w:val="multilevel"/>
    <w:tmpl w:val="269A6E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31787ED3"/>
    <w:multiLevelType w:val="multilevel"/>
    <w:tmpl w:val="6010CF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319C74EE"/>
    <w:multiLevelType w:val="multilevel"/>
    <w:tmpl w:val="42B0B7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489D7C35"/>
    <w:multiLevelType w:val="multilevel"/>
    <w:tmpl w:val="7FE4BA4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15:restartNumberingAfterBreak="0">
    <w:nsid w:val="4FFC3F72"/>
    <w:multiLevelType w:val="multilevel"/>
    <w:tmpl w:val="721E6526"/>
    <w:lvl w:ilvl="0">
      <w:start w:val="1"/>
      <w:numFmt w:val="decimal"/>
      <w:lvlText w:val="%1."/>
      <w:lvlJc w:val="left"/>
      <w:pPr>
        <w:ind w:left="720" w:hanging="360"/>
      </w:pPr>
      <w:rPr>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57BC0861"/>
    <w:multiLevelType w:val="multilevel"/>
    <w:tmpl w:val="2B0024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5EE67925"/>
    <w:multiLevelType w:val="multilevel"/>
    <w:tmpl w:val="B31023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60C70EBF"/>
    <w:multiLevelType w:val="multilevel"/>
    <w:tmpl w:val="BD8C1D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66911C57"/>
    <w:multiLevelType w:val="multilevel"/>
    <w:tmpl w:val="FA74CAB4"/>
    <w:lvl w:ilvl="0">
      <w:start w:val="1"/>
      <w:numFmt w:val="bullet"/>
      <w:lvlText w:val="●"/>
      <w:lvlJc w:val="left"/>
      <w:pPr>
        <w:ind w:left="1080" w:hanging="360"/>
      </w:pPr>
      <w:rPr>
        <w:rFonts w:ascii="Noto Sans Symbols" w:eastAsia="Noto Sans Symbols" w:hAnsi="Noto Sans Symbols" w:cs="Noto Sans Symbols"/>
        <w:sz w:val="20"/>
        <w:szCs w:val="20"/>
      </w:rPr>
    </w:lvl>
    <w:lvl w:ilvl="1">
      <w:start w:val="1"/>
      <w:numFmt w:val="bullet"/>
      <w:lvlText w:val="o"/>
      <w:lvlJc w:val="left"/>
      <w:pPr>
        <w:ind w:left="1800" w:hanging="360"/>
      </w:pPr>
      <w:rPr>
        <w:rFonts w:ascii="Courier New" w:eastAsia="Courier New" w:hAnsi="Courier New" w:cs="Courier New"/>
        <w:sz w:val="20"/>
        <w:szCs w:val="20"/>
      </w:rPr>
    </w:lvl>
    <w:lvl w:ilvl="2">
      <w:start w:val="1"/>
      <w:numFmt w:val="bullet"/>
      <w:lvlText w:val="▪"/>
      <w:lvlJc w:val="left"/>
      <w:pPr>
        <w:ind w:left="2520" w:hanging="360"/>
      </w:pPr>
      <w:rPr>
        <w:rFonts w:ascii="Noto Sans Symbols" w:eastAsia="Noto Sans Symbols" w:hAnsi="Noto Sans Symbols" w:cs="Noto Sans Symbols"/>
        <w:sz w:val="20"/>
        <w:szCs w:val="20"/>
      </w:rPr>
    </w:lvl>
    <w:lvl w:ilvl="3">
      <w:start w:val="1"/>
      <w:numFmt w:val="bullet"/>
      <w:lvlText w:val="▪"/>
      <w:lvlJc w:val="left"/>
      <w:pPr>
        <w:ind w:left="3240" w:hanging="360"/>
      </w:pPr>
      <w:rPr>
        <w:rFonts w:ascii="Noto Sans Symbols" w:eastAsia="Noto Sans Symbols" w:hAnsi="Noto Sans Symbols" w:cs="Noto Sans Symbols"/>
        <w:sz w:val="20"/>
        <w:szCs w:val="20"/>
      </w:rPr>
    </w:lvl>
    <w:lvl w:ilvl="4">
      <w:start w:val="1"/>
      <w:numFmt w:val="bullet"/>
      <w:lvlText w:val="▪"/>
      <w:lvlJc w:val="left"/>
      <w:pPr>
        <w:ind w:left="3960" w:hanging="360"/>
      </w:pPr>
      <w:rPr>
        <w:rFonts w:ascii="Noto Sans Symbols" w:eastAsia="Noto Sans Symbols" w:hAnsi="Noto Sans Symbols" w:cs="Noto Sans Symbols"/>
        <w:sz w:val="20"/>
        <w:szCs w:val="20"/>
      </w:rPr>
    </w:lvl>
    <w:lvl w:ilvl="5">
      <w:start w:val="1"/>
      <w:numFmt w:val="bullet"/>
      <w:lvlText w:val="▪"/>
      <w:lvlJc w:val="left"/>
      <w:pPr>
        <w:ind w:left="4680" w:hanging="360"/>
      </w:pPr>
      <w:rPr>
        <w:rFonts w:ascii="Noto Sans Symbols" w:eastAsia="Noto Sans Symbols" w:hAnsi="Noto Sans Symbols" w:cs="Noto Sans Symbols"/>
        <w:sz w:val="20"/>
        <w:szCs w:val="20"/>
      </w:rPr>
    </w:lvl>
    <w:lvl w:ilvl="6">
      <w:start w:val="1"/>
      <w:numFmt w:val="bullet"/>
      <w:lvlText w:val="▪"/>
      <w:lvlJc w:val="left"/>
      <w:pPr>
        <w:ind w:left="5400" w:hanging="360"/>
      </w:pPr>
      <w:rPr>
        <w:rFonts w:ascii="Noto Sans Symbols" w:eastAsia="Noto Sans Symbols" w:hAnsi="Noto Sans Symbols" w:cs="Noto Sans Symbols"/>
        <w:sz w:val="20"/>
        <w:szCs w:val="20"/>
      </w:rPr>
    </w:lvl>
    <w:lvl w:ilvl="7">
      <w:start w:val="1"/>
      <w:numFmt w:val="bullet"/>
      <w:lvlText w:val="▪"/>
      <w:lvlJc w:val="left"/>
      <w:pPr>
        <w:ind w:left="6120" w:hanging="360"/>
      </w:pPr>
      <w:rPr>
        <w:rFonts w:ascii="Noto Sans Symbols" w:eastAsia="Noto Sans Symbols" w:hAnsi="Noto Sans Symbols" w:cs="Noto Sans Symbols"/>
        <w:sz w:val="20"/>
        <w:szCs w:val="20"/>
      </w:rPr>
    </w:lvl>
    <w:lvl w:ilvl="8">
      <w:start w:val="1"/>
      <w:numFmt w:val="bullet"/>
      <w:lvlText w:val="▪"/>
      <w:lvlJc w:val="left"/>
      <w:pPr>
        <w:ind w:left="6840" w:hanging="360"/>
      </w:pPr>
      <w:rPr>
        <w:rFonts w:ascii="Noto Sans Symbols" w:eastAsia="Noto Sans Symbols" w:hAnsi="Noto Sans Symbols" w:cs="Noto Sans Symbols"/>
        <w:sz w:val="20"/>
        <w:szCs w:val="20"/>
      </w:rPr>
    </w:lvl>
  </w:abstractNum>
  <w:abstractNum w:abstractNumId="15" w15:restartNumberingAfterBreak="0">
    <w:nsid w:val="670211F1"/>
    <w:multiLevelType w:val="multilevel"/>
    <w:tmpl w:val="1E3AD8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6A6B6630"/>
    <w:multiLevelType w:val="multilevel"/>
    <w:tmpl w:val="09F8B8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6D9E14DA"/>
    <w:multiLevelType w:val="multilevel"/>
    <w:tmpl w:val="31AC1328"/>
    <w:lvl w:ilvl="0">
      <w:start w:val="1"/>
      <w:numFmt w:val="bullet"/>
      <w:lvlText w:val="●"/>
      <w:lvlJc w:val="left"/>
      <w:pPr>
        <w:ind w:left="1080" w:hanging="360"/>
      </w:pPr>
      <w:rPr>
        <w:rFonts w:ascii="Noto Sans Symbols" w:eastAsia="Noto Sans Symbols" w:hAnsi="Noto Sans Symbols" w:cs="Noto Sans Symbols"/>
        <w:sz w:val="20"/>
        <w:szCs w:val="20"/>
      </w:rPr>
    </w:lvl>
    <w:lvl w:ilvl="1">
      <w:start w:val="1"/>
      <w:numFmt w:val="bullet"/>
      <w:lvlText w:val="o"/>
      <w:lvlJc w:val="left"/>
      <w:pPr>
        <w:ind w:left="1800" w:hanging="360"/>
      </w:pPr>
      <w:rPr>
        <w:rFonts w:ascii="Courier New" w:eastAsia="Courier New" w:hAnsi="Courier New" w:cs="Courier New"/>
        <w:sz w:val="20"/>
        <w:szCs w:val="20"/>
      </w:rPr>
    </w:lvl>
    <w:lvl w:ilvl="2">
      <w:start w:val="1"/>
      <w:numFmt w:val="bullet"/>
      <w:lvlText w:val="▪"/>
      <w:lvlJc w:val="left"/>
      <w:pPr>
        <w:ind w:left="2520" w:hanging="360"/>
      </w:pPr>
      <w:rPr>
        <w:rFonts w:ascii="Noto Sans Symbols" w:eastAsia="Noto Sans Symbols" w:hAnsi="Noto Sans Symbols" w:cs="Noto Sans Symbols"/>
        <w:sz w:val="20"/>
        <w:szCs w:val="20"/>
      </w:rPr>
    </w:lvl>
    <w:lvl w:ilvl="3">
      <w:start w:val="1"/>
      <w:numFmt w:val="bullet"/>
      <w:lvlText w:val="▪"/>
      <w:lvlJc w:val="left"/>
      <w:pPr>
        <w:ind w:left="3240" w:hanging="360"/>
      </w:pPr>
      <w:rPr>
        <w:rFonts w:ascii="Noto Sans Symbols" w:eastAsia="Noto Sans Symbols" w:hAnsi="Noto Sans Symbols" w:cs="Noto Sans Symbols"/>
        <w:sz w:val="20"/>
        <w:szCs w:val="20"/>
      </w:rPr>
    </w:lvl>
    <w:lvl w:ilvl="4">
      <w:start w:val="1"/>
      <w:numFmt w:val="bullet"/>
      <w:lvlText w:val="▪"/>
      <w:lvlJc w:val="left"/>
      <w:pPr>
        <w:ind w:left="3960" w:hanging="360"/>
      </w:pPr>
      <w:rPr>
        <w:rFonts w:ascii="Noto Sans Symbols" w:eastAsia="Noto Sans Symbols" w:hAnsi="Noto Sans Symbols" w:cs="Noto Sans Symbols"/>
        <w:sz w:val="20"/>
        <w:szCs w:val="20"/>
      </w:rPr>
    </w:lvl>
    <w:lvl w:ilvl="5">
      <w:start w:val="1"/>
      <w:numFmt w:val="bullet"/>
      <w:lvlText w:val="▪"/>
      <w:lvlJc w:val="left"/>
      <w:pPr>
        <w:ind w:left="4680" w:hanging="360"/>
      </w:pPr>
      <w:rPr>
        <w:rFonts w:ascii="Noto Sans Symbols" w:eastAsia="Noto Sans Symbols" w:hAnsi="Noto Sans Symbols" w:cs="Noto Sans Symbols"/>
        <w:sz w:val="20"/>
        <w:szCs w:val="20"/>
      </w:rPr>
    </w:lvl>
    <w:lvl w:ilvl="6">
      <w:start w:val="1"/>
      <w:numFmt w:val="bullet"/>
      <w:lvlText w:val="▪"/>
      <w:lvlJc w:val="left"/>
      <w:pPr>
        <w:ind w:left="5400" w:hanging="360"/>
      </w:pPr>
      <w:rPr>
        <w:rFonts w:ascii="Noto Sans Symbols" w:eastAsia="Noto Sans Symbols" w:hAnsi="Noto Sans Symbols" w:cs="Noto Sans Symbols"/>
        <w:sz w:val="20"/>
        <w:szCs w:val="20"/>
      </w:rPr>
    </w:lvl>
    <w:lvl w:ilvl="7">
      <w:start w:val="1"/>
      <w:numFmt w:val="bullet"/>
      <w:lvlText w:val="▪"/>
      <w:lvlJc w:val="left"/>
      <w:pPr>
        <w:ind w:left="6120" w:hanging="360"/>
      </w:pPr>
      <w:rPr>
        <w:rFonts w:ascii="Noto Sans Symbols" w:eastAsia="Noto Sans Symbols" w:hAnsi="Noto Sans Symbols" w:cs="Noto Sans Symbols"/>
        <w:sz w:val="20"/>
        <w:szCs w:val="20"/>
      </w:rPr>
    </w:lvl>
    <w:lvl w:ilvl="8">
      <w:start w:val="1"/>
      <w:numFmt w:val="bullet"/>
      <w:lvlText w:val="▪"/>
      <w:lvlJc w:val="left"/>
      <w:pPr>
        <w:ind w:left="6840" w:hanging="360"/>
      </w:pPr>
      <w:rPr>
        <w:rFonts w:ascii="Noto Sans Symbols" w:eastAsia="Noto Sans Symbols" w:hAnsi="Noto Sans Symbols" w:cs="Noto Sans Symbols"/>
        <w:sz w:val="20"/>
        <w:szCs w:val="20"/>
      </w:rPr>
    </w:lvl>
  </w:abstractNum>
  <w:num w:numId="1">
    <w:abstractNumId w:val="1"/>
  </w:num>
  <w:num w:numId="2">
    <w:abstractNumId w:val="11"/>
  </w:num>
  <w:num w:numId="3">
    <w:abstractNumId w:val="16"/>
  </w:num>
  <w:num w:numId="4">
    <w:abstractNumId w:val="7"/>
  </w:num>
  <w:num w:numId="5">
    <w:abstractNumId w:val="8"/>
  </w:num>
  <w:num w:numId="6">
    <w:abstractNumId w:val="12"/>
  </w:num>
  <w:num w:numId="7">
    <w:abstractNumId w:val="13"/>
  </w:num>
  <w:num w:numId="8">
    <w:abstractNumId w:val="15"/>
  </w:num>
  <w:num w:numId="9">
    <w:abstractNumId w:val="10"/>
  </w:num>
  <w:num w:numId="10">
    <w:abstractNumId w:val="14"/>
  </w:num>
  <w:num w:numId="11">
    <w:abstractNumId w:val="17"/>
  </w:num>
  <w:num w:numId="12">
    <w:abstractNumId w:val="5"/>
  </w:num>
  <w:num w:numId="13">
    <w:abstractNumId w:val="4"/>
  </w:num>
  <w:num w:numId="14">
    <w:abstractNumId w:val="6"/>
  </w:num>
  <w:num w:numId="15">
    <w:abstractNumId w:val="3"/>
  </w:num>
  <w:num w:numId="16">
    <w:abstractNumId w:val="2"/>
  </w:num>
  <w:num w:numId="17">
    <w:abstractNumId w:val="0"/>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4FEE"/>
    <w:rsid w:val="001000CA"/>
    <w:rsid w:val="001239E9"/>
    <w:rsid w:val="003C1075"/>
    <w:rsid w:val="00554FEE"/>
    <w:rsid w:val="00D47725"/>
    <w:rsid w:val="00E6598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AF58746"/>
  <w15:docId w15:val="{1E1DEAC3-27CC-4E8D-A9A6-BCD2E2250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spacing w:before="240" w:after="60" w:line="276" w:lineRule="auto"/>
      <w:outlineLvl w:val="0"/>
    </w:pPr>
    <w:rPr>
      <w:rFonts w:ascii="Arial" w:eastAsia="Arial" w:hAnsi="Arial" w:cs="Arial"/>
      <w:color w:val="061F57"/>
      <w:sz w:val="52"/>
      <w:szCs w:val="52"/>
    </w:rPr>
  </w:style>
  <w:style w:type="paragraph" w:styleId="Ttulo2">
    <w:name w:val="heading 2"/>
    <w:basedOn w:val="Normal"/>
    <w:next w:val="Normal"/>
    <w:pPr>
      <w:keepNext/>
      <w:keepLines/>
      <w:spacing w:before="360" w:after="80"/>
      <w:outlineLvl w:val="1"/>
    </w:pPr>
    <w:rPr>
      <w:b/>
      <w:bCs/>
      <w:sz w:val="36"/>
      <w:szCs w:val="36"/>
    </w:rPr>
  </w:style>
  <w:style w:type="paragraph" w:styleId="Ttulo3">
    <w:name w:val="heading 3"/>
    <w:basedOn w:val="Normal"/>
    <w:next w:val="Normal"/>
    <w:pPr>
      <w:keepNext/>
      <w:keepLines/>
      <w:spacing w:before="280" w:after="80"/>
      <w:outlineLvl w:val="2"/>
    </w:pPr>
    <w:rPr>
      <w:b/>
      <w:bCs/>
      <w:sz w:val="28"/>
      <w:szCs w:val="28"/>
    </w:rPr>
  </w:style>
  <w:style w:type="paragraph" w:styleId="Ttulo4">
    <w:name w:val="heading 4"/>
    <w:basedOn w:val="Normal"/>
    <w:next w:val="Normal"/>
    <w:pPr>
      <w:keepNext/>
      <w:keepLines/>
      <w:spacing w:before="240" w:after="40"/>
      <w:outlineLvl w:val="3"/>
    </w:pPr>
    <w:rPr>
      <w:b/>
      <w:bCs/>
      <w:sz w:val="24"/>
      <w:szCs w:val="24"/>
    </w:rPr>
  </w:style>
  <w:style w:type="paragraph" w:styleId="Ttulo5">
    <w:name w:val="heading 5"/>
    <w:basedOn w:val="Normal"/>
    <w:next w:val="Normal"/>
    <w:pPr>
      <w:keepNext/>
      <w:keepLines/>
      <w:spacing w:before="220" w:after="40"/>
      <w:outlineLvl w:val="4"/>
    </w:pPr>
    <w:rPr>
      <w:b/>
      <w:bCs/>
    </w:rPr>
  </w:style>
  <w:style w:type="paragraph" w:styleId="Ttulo6">
    <w:name w:val="heading 6"/>
    <w:basedOn w:val="Normal"/>
    <w:next w:val="Normal"/>
    <w:pPr>
      <w:keepNext/>
      <w:keepLines/>
      <w:spacing w:before="200" w:after="40"/>
      <w:outlineLvl w:val="5"/>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1C058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0581"/>
  </w:style>
  <w:style w:type="paragraph" w:styleId="Piedepgina">
    <w:name w:val="footer"/>
    <w:basedOn w:val="Normal"/>
    <w:link w:val="PiedepginaCar"/>
    <w:uiPriority w:val="99"/>
    <w:unhideWhenUsed/>
    <w:rsid w:val="001C058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0581"/>
  </w:style>
  <w:style w:type="paragraph" w:styleId="NormalWeb">
    <w:name w:val="Normal (Web)"/>
    <w:basedOn w:val="Normal"/>
    <w:uiPriority w:val="99"/>
    <w:semiHidden/>
    <w:unhideWhenUsed/>
    <w:rsid w:val="001C058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uiPriority w:val="9"/>
    <w:rsid w:val="00334189"/>
    <w:rPr>
      <w:rFonts w:ascii="Arial" w:eastAsia="Arial" w:hAnsi="Arial" w:cs="Arial"/>
      <w:color w:val="061F57"/>
      <w:sz w:val="52"/>
      <w:szCs w:val="52"/>
      <w:lang w:val="es-ES" w:eastAsia="es-CO"/>
    </w:rPr>
  </w:style>
  <w:style w:type="table" w:customStyle="1" w:styleId="a">
    <w:basedOn w:val="TableNormal6"/>
    <w:pPr>
      <w:spacing w:after="0" w:line="240" w:lineRule="auto"/>
    </w:pPr>
    <w:rPr>
      <w:rFonts w:ascii="Cambria" w:eastAsia="Cambria" w:hAnsi="Cambria" w:cs="Cambria"/>
      <w:color w:val="000000"/>
    </w:rPr>
    <w:tblPr>
      <w:tblStyleRowBandSize w:val="1"/>
      <w:tblStyleColBandSize w:val="1"/>
      <w:tblCellMar>
        <w:top w:w="100" w:type="dxa"/>
        <w:bottom w:w="100" w:type="dxa"/>
      </w:tblCellMar>
    </w:tblPr>
    <w:tcPr>
      <w:shd w:val="clear" w:color="auto" w:fill="D3DFEE"/>
    </w:tcPr>
  </w:style>
  <w:style w:type="table" w:customStyle="1" w:styleId="a0">
    <w:basedOn w:val="TableNormal6"/>
    <w:pPr>
      <w:spacing w:after="0" w:line="240" w:lineRule="auto"/>
    </w:pPr>
    <w:rPr>
      <w:rFonts w:ascii="Cambria" w:eastAsia="Cambria" w:hAnsi="Cambria" w:cs="Cambria"/>
      <w:color w:val="000000"/>
    </w:rPr>
    <w:tblPr>
      <w:tblStyleRowBandSize w:val="1"/>
      <w:tblStyleColBandSize w:val="1"/>
      <w:tblCellMar>
        <w:top w:w="100" w:type="dxa"/>
        <w:bottom w:w="100" w:type="dxa"/>
      </w:tblCellMar>
    </w:tblPr>
    <w:tcPr>
      <w:shd w:val="clear" w:color="auto" w:fill="D3DFEE"/>
    </w:tcPr>
  </w:style>
  <w:style w:type="table" w:customStyle="1" w:styleId="a1">
    <w:basedOn w:val="TableNormal6"/>
    <w:tblPr>
      <w:tblStyleRowBandSize w:val="1"/>
      <w:tblStyleColBandSize w:val="1"/>
      <w:tblCellMar>
        <w:top w:w="100" w:type="dxa"/>
        <w:left w:w="100" w:type="dxa"/>
        <w:bottom w:w="100" w:type="dxa"/>
        <w:right w:w="100" w:type="dxa"/>
      </w:tblCellMar>
    </w:tblPr>
  </w:style>
  <w:style w:type="table" w:customStyle="1" w:styleId="a2">
    <w:basedOn w:val="TableNormal6"/>
    <w:tblPr>
      <w:tblStyleRowBandSize w:val="1"/>
      <w:tblStyleColBandSize w:val="1"/>
      <w:tblCellMar>
        <w:top w:w="100" w:type="dxa"/>
        <w:left w:w="100" w:type="dxa"/>
        <w:bottom w:w="100" w:type="dxa"/>
        <w:right w:w="100" w:type="dxa"/>
      </w:tblCellMar>
    </w:tblPr>
  </w:style>
  <w:style w:type="table" w:customStyle="1" w:styleId="a3">
    <w:basedOn w:val="TableNormal6"/>
    <w:tblPr>
      <w:tblStyleRowBandSize w:val="1"/>
      <w:tblStyleColBandSize w:val="1"/>
      <w:tblCellMar>
        <w:top w:w="100" w:type="dxa"/>
        <w:left w:w="100" w:type="dxa"/>
        <w:bottom w:w="100" w:type="dxa"/>
        <w:right w:w="100" w:type="dxa"/>
      </w:tblCellMar>
    </w:tblPr>
  </w:style>
  <w:style w:type="table" w:customStyle="1" w:styleId="a4">
    <w:basedOn w:val="TableNormal6"/>
    <w:tblPr>
      <w:tblStyleRowBandSize w:val="1"/>
      <w:tblStyleColBandSize w:val="1"/>
      <w:tblCellMar>
        <w:top w:w="100" w:type="dxa"/>
        <w:left w:w="100" w:type="dxa"/>
        <w:bottom w:w="100" w:type="dxa"/>
        <w:right w:w="100" w:type="dxa"/>
      </w:tblCellMar>
    </w:tblPr>
  </w:style>
  <w:style w:type="table" w:customStyle="1" w:styleId="a5">
    <w:basedOn w:val="TableNormal6"/>
    <w:tblPr>
      <w:tblStyleRowBandSize w:val="1"/>
      <w:tblStyleColBandSize w:val="1"/>
      <w:tblCellMar>
        <w:top w:w="100" w:type="dxa"/>
        <w:left w:w="100" w:type="dxa"/>
        <w:bottom w:w="100" w:type="dxa"/>
        <w:right w:w="100" w:type="dxa"/>
      </w:tblCellMar>
    </w:tblPr>
  </w:style>
  <w:style w:type="table" w:customStyle="1" w:styleId="a6">
    <w:basedOn w:val="TableNormal6"/>
    <w:tblPr>
      <w:tblStyleRowBandSize w:val="1"/>
      <w:tblStyleColBandSize w:val="1"/>
      <w:tblCellMar>
        <w:top w:w="100" w:type="dxa"/>
        <w:left w:w="100" w:type="dxa"/>
        <w:bottom w:w="100" w:type="dxa"/>
        <w:right w:w="100" w:type="dxa"/>
      </w:tblCellMar>
    </w:tblPr>
  </w:style>
  <w:style w:type="table" w:customStyle="1" w:styleId="a7">
    <w:basedOn w:val="TableNormal6"/>
    <w:tblPr>
      <w:tblStyleRowBandSize w:val="1"/>
      <w:tblStyleColBandSize w:val="1"/>
      <w:tblCellMar>
        <w:top w:w="100" w:type="dxa"/>
        <w:left w:w="100" w:type="dxa"/>
        <w:bottom w:w="100" w:type="dxa"/>
        <w:right w:w="100" w:type="dxa"/>
      </w:tblCellMar>
    </w:tblPr>
  </w:style>
  <w:style w:type="table" w:customStyle="1" w:styleId="a8">
    <w:basedOn w:val="TableNormal6"/>
    <w:tblPr>
      <w:tblStyleRowBandSize w:val="1"/>
      <w:tblStyleColBandSize w:val="1"/>
      <w:tblCellMar>
        <w:top w:w="100" w:type="dxa"/>
        <w:left w:w="100" w:type="dxa"/>
        <w:bottom w:w="100" w:type="dxa"/>
        <w:right w:w="100" w:type="dxa"/>
      </w:tblCellMar>
    </w:tblPr>
  </w:style>
  <w:style w:type="table" w:customStyle="1" w:styleId="a9">
    <w:basedOn w:val="TableNormal6"/>
    <w:tblPr>
      <w:tblStyleRowBandSize w:val="1"/>
      <w:tblStyleColBandSize w:val="1"/>
      <w:tblCellMar>
        <w:top w:w="100" w:type="dxa"/>
        <w:left w:w="100" w:type="dxa"/>
        <w:bottom w:w="100" w:type="dxa"/>
        <w:right w:w="100" w:type="dxa"/>
      </w:tblCellMar>
    </w:tblPr>
  </w:style>
  <w:style w:type="table" w:customStyle="1" w:styleId="aa">
    <w:basedOn w:val="TableNormal6"/>
    <w:tblPr>
      <w:tblStyleRowBandSize w:val="1"/>
      <w:tblStyleColBandSize w:val="1"/>
      <w:tblCellMar>
        <w:top w:w="100" w:type="dxa"/>
        <w:left w:w="100" w:type="dxa"/>
        <w:bottom w:w="100" w:type="dxa"/>
        <w:right w:w="100" w:type="dxa"/>
      </w:tblCellMar>
    </w:tblPr>
  </w:style>
  <w:style w:type="table" w:customStyle="1" w:styleId="ab">
    <w:basedOn w:val="TableNormal5"/>
    <w:tblPr>
      <w:tblStyleRowBandSize w:val="1"/>
      <w:tblStyleColBandSize w:val="1"/>
      <w:tblCellMar>
        <w:top w:w="100" w:type="dxa"/>
        <w:left w:w="100" w:type="dxa"/>
        <w:bottom w:w="100" w:type="dxa"/>
        <w:right w:w="100" w:type="dxa"/>
      </w:tblCellMar>
    </w:tblPr>
  </w:style>
  <w:style w:type="table" w:customStyle="1" w:styleId="ac">
    <w:basedOn w:val="TableNormal5"/>
    <w:tblPr>
      <w:tblStyleRowBandSize w:val="1"/>
      <w:tblStyleColBandSize w:val="1"/>
      <w:tblCellMar>
        <w:top w:w="100" w:type="dxa"/>
        <w:left w:w="100" w:type="dxa"/>
        <w:bottom w:w="100" w:type="dxa"/>
        <w:right w:w="100" w:type="dxa"/>
      </w:tblCellMar>
    </w:tblPr>
  </w:style>
  <w:style w:type="table" w:customStyle="1" w:styleId="ad">
    <w:basedOn w:val="TableNormal5"/>
    <w:tblPr>
      <w:tblStyleRowBandSize w:val="1"/>
      <w:tblStyleColBandSize w:val="1"/>
      <w:tblCellMar>
        <w:top w:w="100" w:type="dxa"/>
        <w:left w:w="100" w:type="dxa"/>
        <w:bottom w:w="100" w:type="dxa"/>
        <w:right w:w="100" w:type="dxa"/>
      </w:tblCellMar>
    </w:tblPr>
  </w:style>
  <w:style w:type="table" w:customStyle="1" w:styleId="ae">
    <w:basedOn w:val="TableNormal5"/>
    <w:tblPr>
      <w:tblStyleRowBandSize w:val="1"/>
      <w:tblStyleColBandSize w:val="1"/>
      <w:tblCellMar>
        <w:top w:w="100" w:type="dxa"/>
        <w:left w:w="100" w:type="dxa"/>
        <w:bottom w:w="100" w:type="dxa"/>
        <w:right w:w="100" w:type="dxa"/>
      </w:tblCellMar>
    </w:tblPr>
  </w:style>
  <w:style w:type="table" w:customStyle="1" w:styleId="af">
    <w:basedOn w:val="TableNormal5"/>
    <w:tblPr>
      <w:tblStyleRowBandSize w:val="1"/>
      <w:tblStyleColBandSize w:val="1"/>
      <w:tblCellMar>
        <w:top w:w="100" w:type="dxa"/>
        <w:left w:w="100" w:type="dxa"/>
        <w:bottom w:w="100" w:type="dxa"/>
        <w:right w:w="100" w:type="dxa"/>
      </w:tblCellMar>
    </w:tblPr>
  </w:style>
  <w:style w:type="table" w:customStyle="1" w:styleId="af0">
    <w:basedOn w:val="TableNormal5"/>
    <w:tblPr>
      <w:tblStyleRowBandSize w:val="1"/>
      <w:tblStyleColBandSize w:val="1"/>
      <w:tblCellMar>
        <w:top w:w="100" w:type="dxa"/>
        <w:left w:w="100" w:type="dxa"/>
        <w:bottom w:w="100" w:type="dxa"/>
        <w:right w:w="100" w:type="dxa"/>
      </w:tblCellMar>
    </w:tblPr>
  </w:style>
  <w:style w:type="table" w:customStyle="1" w:styleId="af1">
    <w:basedOn w:val="TableNormal5"/>
    <w:tblPr>
      <w:tblStyleRowBandSize w:val="1"/>
      <w:tblStyleColBandSize w:val="1"/>
      <w:tblCellMar>
        <w:top w:w="100" w:type="dxa"/>
        <w:left w:w="100" w:type="dxa"/>
        <w:bottom w:w="100" w:type="dxa"/>
        <w:right w:w="100" w:type="dxa"/>
      </w:tblCellMar>
    </w:tblPr>
  </w:style>
  <w:style w:type="table" w:customStyle="1" w:styleId="af2">
    <w:basedOn w:val="TableNormal5"/>
    <w:tblPr>
      <w:tblStyleRowBandSize w:val="1"/>
      <w:tblStyleColBandSize w:val="1"/>
      <w:tblCellMar>
        <w:top w:w="100" w:type="dxa"/>
        <w:left w:w="100" w:type="dxa"/>
        <w:bottom w:w="100" w:type="dxa"/>
        <w:right w:w="100" w:type="dxa"/>
      </w:tblCellMar>
    </w:tblPr>
  </w:style>
  <w:style w:type="table" w:customStyle="1" w:styleId="af3">
    <w:basedOn w:val="TableNormal5"/>
    <w:tblPr>
      <w:tblStyleRowBandSize w:val="1"/>
      <w:tblStyleColBandSize w:val="1"/>
      <w:tblCellMar>
        <w:top w:w="100" w:type="dxa"/>
        <w:left w:w="100" w:type="dxa"/>
        <w:bottom w:w="100" w:type="dxa"/>
        <w:right w:w="100" w:type="dxa"/>
      </w:tblCellMar>
    </w:tblPr>
  </w:style>
  <w:style w:type="table" w:customStyle="1" w:styleId="af4">
    <w:basedOn w:val="TableNormal5"/>
    <w:tblPr>
      <w:tblStyleRowBandSize w:val="1"/>
      <w:tblStyleColBandSize w:val="1"/>
      <w:tblCellMar>
        <w:top w:w="100" w:type="dxa"/>
        <w:left w:w="100" w:type="dxa"/>
        <w:bottom w:w="100" w:type="dxa"/>
        <w:right w:w="100" w:type="dxa"/>
      </w:tblCellMar>
    </w:tblPr>
  </w:style>
  <w:style w:type="table" w:customStyle="1" w:styleId="af5">
    <w:basedOn w:val="TableNormal5"/>
    <w:tblPr>
      <w:tblStyleRowBandSize w:val="1"/>
      <w:tblStyleColBandSize w:val="1"/>
      <w:tblCellMar>
        <w:top w:w="100" w:type="dxa"/>
        <w:left w:w="100" w:type="dxa"/>
        <w:bottom w:w="100" w:type="dxa"/>
        <w:right w:w="100" w:type="dxa"/>
      </w:tblCellMar>
    </w:tblPr>
  </w:style>
  <w:style w:type="table" w:customStyle="1" w:styleId="af6">
    <w:basedOn w:val="TableNormal5"/>
    <w:tblPr>
      <w:tblStyleRowBandSize w:val="1"/>
      <w:tblStyleColBandSize w:val="1"/>
      <w:tblCellMar>
        <w:top w:w="100" w:type="dxa"/>
        <w:left w:w="100" w:type="dxa"/>
        <w:bottom w:w="100" w:type="dxa"/>
        <w:right w:w="100" w:type="dxa"/>
      </w:tblCellMar>
    </w:tblPr>
  </w:style>
  <w:style w:type="table" w:styleId="Tablaconcuadrcula">
    <w:name w:val="Table Grid"/>
    <w:basedOn w:val="Tablanormal"/>
    <w:uiPriority w:val="39"/>
    <w:rsid w:val="00EF31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F86AFE"/>
    <w:rPr>
      <w:b/>
      <w:bCs/>
    </w:rPr>
  </w:style>
  <w:style w:type="paragraph" w:styleId="Prrafodelista">
    <w:name w:val="List Paragraph"/>
    <w:basedOn w:val="Normal"/>
    <w:uiPriority w:val="34"/>
    <w:qFormat/>
    <w:rsid w:val="005E6D9E"/>
    <w:pPr>
      <w:ind w:left="720"/>
      <w:contextualSpacing/>
    </w:pPr>
  </w:style>
  <w:style w:type="table" w:customStyle="1" w:styleId="af7">
    <w:basedOn w:val="TableNormal2"/>
    <w:pPr>
      <w:spacing w:after="0" w:line="240" w:lineRule="auto"/>
    </w:pPr>
    <w:tblPr>
      <w:tblStyleRowBandSize w:val="1"/>
      <w:tblStyleColBandSize w:val="1"/>
      <w:tblCellMar>
        <w:left w:w="108" w:type="dxa"/>
        <w:right w:w="108" w:type="dxa"/>
      </w:tblCellMar>
    </w:tblPr>
  </w:style>
  <w:style w:type="table" w:customStyle="1" w:styleId="af8">
    <w:basedOn w:val="TableNormal2"/>
    <w:tblPr>
      <w:tblStyleRowBandSize w:val="1"/>
      <w:tblStyleColBandSize w:val="1"/>
    </w:tblPr>
  </w:style>
  <w:style w:type="table" w:customStyle="1" w:styleId="af9">
    <w:basedOn w:val="TableNormal2"/>
    <w:pPr>
      <w:spacing w:after="0" w:line="240" w:lineRule="auto"/>
    </w:pPr>
    <w:tblPr>
      <w:tblStyleRowBandSize w:val="1"/>
      <w:tblStyleColBandSize w:val="1"/>
      <w:tblCellMar>
        <w:left w:w="108" w:type="dxa"/>
        <w:right w:w="108" w:type="dxa"/>
      </w:tblCellMar>
    </w:tblPr>
  </w:style>
  <w:style w:type="table" w:customStyle="1" w:styleId="afa">
    <w:basedOn w:val="TableNormal2"/>
    <w:tblPr>
      <w:tblStyleRowBandSize w:val="1"/>
      <w:tblStyleColBandSize w:val="1"/>
    </w:tblPr>
  </w:style>
  <w:style w:type="paragraph" w:styleId="TtuloTDC">
    <w:name w:val="TOC Heading"/>
    <w:next w:val="Normal"/>
    <w:uiPriority w:val="39"/>
    <w:unhideWhenUsed/>
    <w:qFormat/>
    <w:rsid w:val="00F31058"/>
    <w:pPr>
      <w:keepLines/>
      <w:spacing w:after="0"/>
    </w:pPr>
    <w:rPr>
      <w:rFonts w:asciiTheme="majorHAnsi" w:eastAsiaTheme="majorEastAsia" w:hAnsiTheme="majorHAnsi" w:cstheme="majorBidi"/>
      <w:color w:val="2E74B5" w:themeColor="accent1" w:themeShade="BF"/>
      <w:sz w:val="32"/>
      <w:szCs w:val="32"/>
    </w:rPr>
  </w:style>
  <w:style w:type="paragraph" w:styleId="TDC2">
    <w:name w:val="toc 2"/>
    <w:basedOn w:val="Normal"/>
    <w:next w:val="Normal"/>
    <w:autoRedefine/>
    <w:uiPriority w:val="39"/>
    <w:unhideWhenUsed/>
    <w:rsid w:val="00F31058"/>
    <w:pPr>
      <w:spacing w:after="100"/>
      <w:ind w:left="220"/>
    </w:pPr>
    <w:rPr>
      <w:rFonts w:asciiTheme="minorHAnsi" w:eastAsiaTheme="minorEastAsia" w:hAnsiTheme="minorHAnsi" w:cs="Times New Roman"/>
    </w:rPr>
  </w:style>
  <w:style w:type="paragraph" w:styleId="TDC1">
    <w:name w:val="toc 1"/>
    <w:basedOn w:val="Normal"/>
    <w:next w:val="Normal"/>
    <w:autoRedefine/>
    <w:uiPriority w:val="39"/>
    <w:unhideWhenUsed/>
    <w:rsid w:val="00B61C10"/>
    <w:pPr>
      <w:tabs>
        <w:tab w:val="left" w:pos="440"/>
        <w:tab w:val="right" w:leader="dot" w:pos="9202"/>
      </w:tabs>
      <w:spacing w:after="100" w:line="480" w:lineRule="auto"/>
    </w:pPr>
    <w:rPr>
      <w:rFonts w:asciiTheme="minorHAnsi" w:eastAsiaTheme="minorEastAsia" w:hAnsiTheme="minorHAnsi" w:cs="Times New Roman"/>
    </w:rPr>
  </w:style>
  <w:style w:type="paragraph" w:styleId="TDC3">
    <w:name w:val="toc 3"/>
    <w:basedOn w:val="Normal"/>
    <w:next w:val="Normal"/>
    <w:autoRedefine/>
    <w:uiPriority w:val="39"/>
    <w:unhideWhenUsed/>
    <w:rsid w:val="00F31058"/>
    <w:pPr>
      <w:spacing w:after="100"/>
      <w:ind w:left="440"/>
    </w:pPr>
    <w:rPr>
      <w:rFonts w:asciiTheme="minorHAnsi" w:eastAsiaTheme="minorEastAsia" w:hAnsiTheme="minorHAnsi" w:cs="Times New Roman"/>
    </w:rPr>
  </w:style>
  <w:style w:type="character" w:styleId="Hipervnculo">
    <w:name w:val="Hyperlink"/>
    <w:basedOn w:val="Fuentedeprrafopredeter"/>
    <w:uiPriority w:val="99"/>
    <w:unhideWhenUsed/>
    <w:rsid w:val="00B61C10"/>
    <w:rPr>
      <w:color w:val="0563C1" w:themeColor="hyperlink"/>
      <w:u w:val="single"/>
    </w:rPr>
  </w:style>
  <w:style w:type="paragraph" w:styleId="Subttulo">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fb">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c">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d">
    <w:basedOn w:val="TableNormal0"/>
    <w:tblPr>
      <w:tblStyleRowBandSize w:val="1"/>
      <w:tblStyleColBandSize w:val="1"/>
      <w:tblCellMar>
        <w:top w:w="0" w:type="dxa"/>
        <w:left w:w="115" w:type="dxa"/>
        <w:bottom w:w="0" w:type="dxa"/>
        <w:right w:w="115" w:type="dxa"/>
      </w:tblCellMar>
    </w:tblPr>
  </w:style>
  <w:style w:type="table" w:customStyle="1" w:styleId="afe">
    <w:basedOn w:val="TableNormal0"/>
    <w:tblPr>
      <w:tblStyleRowBandSize w:val="1"/>
      <w:tblStyleColBandSize w:val="1"/>
    </w:tblPr>
  </w:style>
  <w:style w:type="table" w:customStyle="1" w:styleId="aff">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pjaBLbA2JD/n6q9QeDnZ5CcItQ==">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23</Pages>
  <Words>5132</Words>
  <Characters>28230</Characters>
  <Application>Microsoft Office Word</Application>
  <DocSecurity>0</DocSecurity>
  <Lines>235</Lines>
  <Paragraphs>66</Paragraphs>
  <ScaleCrop>false</ScaleCrop>
  <Company/>
  <LinksUpToDate>false</LinksUpToDate>
  <CharactersWithSpaces>33296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Cristina Castillo Iregui</dc:creator>
  <cp:lastModifiedBy>Andrea Navarro Lara</cp:lastModifiedBy>
  <cp:revision>4</cp:revision>
  <dcterms:created xsi:type="dcterms:W3CDTF">2026-01-26T18:01:00Z</dcterms:created>
  <dcterms:modified xsi:type="dcterms:W3CDTF">2026-01-29T17:17:00Z</dcterms:modified>
</cp:coreProperties>
</file>